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6CD35" w14:textId="079C9C48" w:rsidR="004E69B0" w:rsidRDefault="00A271DD" w:rsidP="00A271DD">
      <w:pPr>
        <w:spacing w:line="0" w:lineRule="atLeast"/>
        <w:ind w:right="-25"/>
        <w:jc w:val="right"/>
        <w:rPr>
          <w:rFonts w:ascii="Arial" w:hAnsi="Arial" w:cs="Arial"/>
          <w:b/>
          <w:sz w:val="22"/>
          <w:szCs w:val="22"/>
          <w:lang w:val="es-MX"/>
        </w:rPr>
      </w:pPr>
      <w:r w:rsidRPr="00F12267">
        <w:rPr>
          <w:rFonts w:ascii="Arial" w:hAnsi="Arial" w:cs="Arial"/>
          <w:b/>
          <w:sz w:val="22"/>
          <w:szCs w:val="22"/>
          <w:lang w:val="es-MX"/>
        </w:rPr>
        <w:t>Oficio No. REC/</w:t>
      </w:r>
      <w:r w:rsidR="00D52CAB" w:rsidRPr="00F12267">
        <w:rPr>
          <w:rFonts w:ascii="Arial" w:hAnsi="Arial" w:cs="Arial"/>
          <w:b/>
          <w:sz w:val="22"/>
          <w:szCs w:val="22"/>
          <w:lang w:val="es-MX"/>
        </w:rPr>
        <w:t>35</w:t>
      </w:r>
      <w:r w:rsidRPr="00F12267">
        <w:rPr>
          <w:rFonts w:ascii="Arial" w:hAnsi="Arial" w:cs="Arial"/>
          <w:b/>
          <w:sz w:val="22"/>
          <w:szCs w:val="22"/>
          <w:lang w:val="es-MX"/>
        </w:rPr>
        <w:t>/</w:t>
      </w:r>
      <w:r w:rsidR="00B37D63" w:rsidRPr="00F12267">
        <w:rPr>
          <w:rFonts w:ascii="Arial" w:hAnsi="Arial" w:cs="Arial"/>
          <w:b/>
          <w:sz w:val="22"/>
          <w:szCs w:val="22"/>
          <w:lang w:val="es-MX"/>
        </w:rPr>
        <w:t>2023</w:t>
      </w:r>
    </w:p>
    <w:p w14:paraId="1E241A93" w14:textId="77777777" w:rsidR="00F12267" w:rsidRPr="00F12267" w:rsidRDefault="00F12267" w:rsidP="00A271DD">
      <w:pPr>
        <w:spacing w:line="0" w:lineRule="atLeast"/>
        <w:ind w:right="-25"/>
        <w:jc w:val="right"/>
        <w:rPr>
          <w:rFonts w:ascii="Arial" w:hAnsi="Arial" w:cs="Arial"/>
          <w:b/>
          <w:sz w:val="22"/>
          <w:szCs w:val="22"/>
          <w:lang w:val="es-MX"/>
        </w:rPr>
      </w:pPr>
    </w:p>
    <w:p w14:paraId="13761BE3" w14:textId="11CD2F4F" w:rsidR="00674658" w:rsidRPr="00F12267" w:rsidRDefault="00674658" w:rsidP="00A271DD">
      <w:pPr>
        <w:spacing w:line="0" w:lineRule="atLeast"/>
        <w:ind w:right="-25"/>
        <w:jc w:val="right"/>
        <w:rPr>
          <w:rFonts w:ascii="Arial" w:hAnsi="Arial" w:cs="Arial"/>
          <w:b/>
          <w:sz w:val="22"/>
          <w:szCs w:val="22"/>
          <w:lang w:val="es-MX"/>
        </w:rPr>
      </w:pPr>
      <w:r w:rsidRPr="00F12267">
        <w:rPr>
          <w:rFonts w:ascii="Arial" w:hAnsi="Arial" w:cs="Arial"/>
          <w:b/>
          <w:sz w:val="22"/>
          <w:szCs w:val="22"/>
          <w:lang w:val="es-MX"/>
        </w:rPr>
        <w:t xml:space="preserve">Asunto: </w:t>
      </w:r>
      <w:r w:rsidR="00F12267">
        <w:rPr>
          <w:rFonts w:ascii="Arial" w:hAnsi="Arial" w:cs="Arial"/>
          <w:sz w:val="22"/>
          <w:szCs w:val="22"/>
          <w:lang w:val="es-MX"/>
        </w:rPr>
        <w:t>Solicitud de D</w:t>
      </w:r>
      <w:r w:rsidR="00C75349" w:rsidRPr="00F12267">
        <w:rPr>
          <w:rFonts w:ascii="Arial" w:hAnsi="Arial" w:cs="Arial"/>
          <w:sz w:val="22"/>
          <w:szCs w:val="22"/>
          <w:lang w:val="es-MX"/>
        </w:rPr>
        <w:t>ictaminación</w:t>
      </w:r>
    </w:p>
    <w:p w14:paraId="1E0B9DE0" w14:textId="77777777" w:rsidR="00413BAF" w:rsidRPr="00F12267" w:rsidRDefault="00413BAF" w:rsidP="00A271DD">
      <w:pPr>
        <w:spacing w:line="0" w:lineRule="atLeast"/>
        <w:ind w:right="-25"/>
        <w:jc w:val="right"/>
        <w:rPr>
          <w:rFonts w:ascii="Arial" w:hAnsi="Arial" w:cs="Arial"/>
          <w:b/>
          <w:sz w:val="22"/>
          <w:szCs w:val="22"/>
          <w:lang w:val="es-MX"/>
        </w:rPr>
      </w:pPr>
    </w:p>
    <w:p w14:paraId="3EB4636E" w14:textId="0EC5058C" w:rsidR="003356FC" w:rsidRPr="00F12267" w:rsidRDefault="003356FC" w:rsidP="003356FC">
      <w:pPr>
        <w:spacing w:line="0" w:lineRule="atLeast"/>
        <w:ind w:right="-25"/>
        <w:jc w:val="right"/>
        <w:rPr>
          <w:rFonts w:ascii="Arial" w:hAnsi="Arial" w:cs="Arial"/>
          <w:sz w:val="22"/>
          <w:szCs w:val="22"/>
          <w:lang w:val="es-MX"/>
        </w:rPr>
      </w:pPr>
      <w:r w:rsidRPr="00F12267">
        <w:rPr>
          <w:rFonts w:ascii="Arial" w:hAnsi="Arial" w:cs="Arial"/>
          <w:sz w:val="22"/>
          <w:szCs w:val="22"/>
          <w:lang w:val="es-MX"/>
        </w:rPr>
        <w:t xml:space="preserve">Teotitlán de Flores Magón, Oax., a </w:t>
      </w:r>
      <w:r w:rsidR="0009569F" w:rsidRPr="00F12267">
        <w:rPr>
          <w:rFonts w:ascii="Arial" w:hAnsi="Arial" w:cs="Arial"/>
          <w:sz w:val="22"/>
          <w:szCs w:val="22"/>
          <w:lang w:val="es-MX"/>
        </w:rPr>
        <w:t>11 de diciembre</w:t>
      </w:r>
      <w:r w:rsidR="003D2F94" w:rsidRPr="00F12267">
        <w:rPr>
          <w:rFonts w:ascii="Arial" w:hAnsi="Arial" w:cs="Arial"/>
          <w:sz w:val="22"/>
          <w:szCs w:val="22"/>
          <w:lang w:val="es-MX"/>
        </w:rPr>
        <w:t xml:space="preserve"> de 202</w:t>
      </w:r>
      <w:r w:rsidR="00B37D63" w:rsidRPr="00F12267">
        <w:rPr>
          <w:rFonts w:ascii="Arial" w:hAnsi="Arial" w:cs="Arial"/>
          <w:sz w:val="22"/>
          <w:szCs w:val="22"/>
          <w:lang w:val="es-MX"/>
        </w:rPr>
        <w:t>3</w:t>
      </w:r>
      <w:r w:rsidRPr="00F12267">
        <w:rPr>
          <w:rFonts w:ascii="Arial" w:hAnsi="Arial" w:cs="Arial"/>
          <w:sz w:val="22"/>
          <w:szCs w:val="22"/>
          <w:lang w:val="es-MX"/>
        </w:rPr>
        <w:t>.</w:t>
      </w:r>
    </w:p>
    <w:p w14:paraId="15BCBF8D" w14:textId="3FC83DA2" w:rsidR="00413BAF" w:rsidRPr="00423C60" w:rsidRDefault="00413BAF" w:rsidP="00210473">
      <w:pPr>
        <w:spacing w:line="0" w:lineRule="atLeast"/>
        <w:ind w:right="-25"/>
        <w:rPr>
          <w:rFonts w:ascii="Arial" w:hAnsi="Arial" w:cs="Arial"/>
          <w:b/>
          <w:sz w:val="20"/>
          <w:szCs w:val="22"/>
          <w:lang w:val="es-MX"/>
        </w:rPr>
      </w:pPr>
    </w:p>
    <w:p w14:paraId="7FF148F0" w14:textId="77777777" w:rsidR="00045835" w:rsidRPr="00423C60" w:rsidRDefault="00045835" w:rsidP="00210473">
      <w:pPr>
        <w:spacing w:line="0" w:lineRule="atLeast"/>
        <w:ind w:right="-25"/>
        <w:rPr>
          <w:rFonts w:ascii="Arial" w:hAnsi="Arial" w:cs="Arial"/>
          <w:b/>
          <w:sz w:val="20"/>
          <w:szCs w:val="22"/>
          <w:lang w:val="es-MX"/>
        </w:rPr>
      </w:pPr>
    </w:p>
    <w:p w14:paraId="2B22375A" w14:textId="1A188A62" w:rsidR="00CB037B" w:rsidRPr="00423C60" w:rsidRDefault="00674658" w:rsidP="00CB037B">
      <w:pPr>
        <w:spacing w:line="0" w:lineRule="atLeast"/>
        <w:ind w:right="-25"/>
        <w:rPr>
          <w:rFonts w:ascii="Arial" w:hAnsi="Arial" w:cs="Arial"/>
          <w:b/>
          <w:sz w:val="20"/>
          <w:szCs w:val="22"/>
          <w:lang w:val="es-MX"/>
        </w:rPr>
      </w:pPr>
      <w:r w:rsidRPr="00423C60">
        <w:rPr>
          <w:rFonts w:ascii="Arial" w:hAnsi="Arial" w:cs="Arial"/>
          <w:b/>
          <w:sz w:val="20"/>
          <w:szCs w:val="22"/>
          <w:lang w:val="es-MX"/>
        </w:rPr>
        <w:t>Lic. Liliana Santiago Sánchez</w:t>
      </w:r>
    </w:p>
    <w:p w14:paraId="25D2624C" w14:textId="0BD41339" w:rsidR="00F12267" w:rsidRDefault="00F12267" w:rsidP="00CB037B">
      <w:pPr>
        <w:spacing w:line="0" w:lineRule="atLeast"/>
        <w:ind w:right="-25"/>
        <w:rPr>
          <w:rFonts w:ascii="Arial" w:hAnsi="Arial" w:cs="Arial"/>
          <w:sz w:val="20"/>
          <w:szCs w:val="22"/>
          <w:lang w:val="es-MX"/>
        </w:rPr>
      </w:pPr>
      <w:r>
        <w:rPr>
          <w:rFonts w:ascii="Arial" w:hAnsi="Arial" w:cs="Arial"/>
          <w:sz w:val="20"/>
          <w:szCs w:val="22"/>
          <w:lang w:val="es-MX"/>
        </w:rPr>
        <w:t>Secretaria Técnica</w:t>
      </w:r>
    </w:p>
    <w:p w14:paraId="32A36E58" w14:textId="557C8A4C" w:rsidR="00674658" w:rsidRPr="00423C60" w:rsidRDefault="00674658" w:rsidP="00CB037B">
      <w:pPr>
        <w:spacing w:line="0" w:lineRule="atLeast"/>
        <w:ind w:right="-25"/>
        <w:rPr>
          <w:rFonts w:ascii="Arial" w:hAnsi="Arial" w:cs="Arial"/>
          <w:sz w:val="20"/>
          <w:szCs w:val="22"/>
          <w:lang w:val="es-MX"/>
        </w:rPr>
      </w:pPr>
      <w:r w:rsidRPr="00423C60">
        <w:rPr>
          <w:rFonts w:ascii="Arial" w:hAnsi="Arial" w:cs="Arial"/>
          <w:sz w:val="20"/>
          <w:szCs w:val="22"/>
          <w:lang w:val="es-MX"/>
        </w:rPr>
        <w:t xml:space="preserve">Comité de Adquisiciones, Enajenaciones, </w:t>
      </w:r>
    </w:p>
    <w:p w14:paraId="34F4986D" w14:textId="0F233A34" w:rsidR="00CB037B" w:rsidRPr="00423C60" w:rsidRDefault="00674658" w:rsidP="00CB037B">
      <w:pPr>
        <w:spacing w:line="0" w:lineRule="atLeast"/>
        <w:ind w:right="-25"/>
        <w:rPr>
          <w:rFonts w:ascii="Arial" w:hAnsi="Arial" w:cs="Arial"/>
          <w:sz w:val="20"/>
          <w:szCs w:val="22"/>
          <w:lang w:val="es-MX"/>
        </w:rPr>
      </w:pPr>
      <w:r w:rsidRPr="00423C60">
        <w:rPr>
          <w:rFonts w:ascii="Arial" w:hAnsi="Arial" w:cs="Arial"/>
          <w:sz w:val="20"/>
          <w:szCs w:val="22"/>
          <w:lang w:val="es-MX"/>
        </w:rPr>
        <w:t>Arrenda</w:t>
      </w:r>
      <w:r w:rsidR="00F12267">
        <w:rPr>
          <w:rFonts w:ascii="Arial" w:hAnsi="Arial" w:cs="Arial"/>
          <w:sz w:val="20"/>
          <w:szCs w:val="22"/>
          <w:lang w:val="es-MX"/>
        </w:rPr>
        <w:t>mientos y Servicios del Estado d</w:t>
      </w:r>
      <w:r w:rsidRPr="00423C60">
        <w:rPr>
          <w:rFonts w:ascii="Arial" w:hAnsi="Arial" w:cs="Arial"/>
          <w:sz w:val="20"/>
          <w:szCs w:val="22"/>
          <w:lang w:val="es-MX"/>
        </w:rPr>
        <w:t>e Oaxaca</w:t>
      </w:r>
    </w:p>
    <w:p w14:paraId="49C1A36A" w14:textId="77777777" w:rsidR="00F12267" w:rsidRDefault="00F12267" w:rsidP="003356FC">
      <w:pPr>
        <w:spacing w:line="0" w:lineRule="atLeast"/>
        <w:ind w:right="-25"/>
        <w:rPr>
          <w:rFonts w:ascii="Arial" w:hAnsi="Arial" w:cs="Arial"/>
          <w:sz w:val="20"/>
          <w:szCs w:val="22"/>
          <w:lang w:val="es-MX"/>
        </w:rPr>
      </w:pPr>
      <w:r>
        <w:rPr>
          <w:rFonts w:ascii="Arial" w:hAnsi="Arial" w:cs="Arial"/>
          <w:sz w:val="20"/>
          <w:szCs w:val="22"/>
          <w:lang w:val="es-MX"/>
        </w:rPr>
        <w:t>P R E S E N T E.-</w:t>
      </w:r>
    </w:p>
    <w:p w14:paraId="6B636024" w14:textId="005EA3E1" w:rsidR="00413BAF" w:rsidRPr="00423C60" w:rsidRDefault="00F12267" w:rsidP="003356FC">
      <w:pPr>
        <w:spacing w:line="0" w:lineRule="atLeast"/>
        <w:ind w:right="-25"/>
        <w:rPr>
          <w:rFonts w:ascii="Arial" w:hAnsi="Arial" w:cs="Arial"/>
          <w:b/>
          <w:sz w:val="20"/>
          <w:szCs w:val="22"/>
          <w:lang w:val="es-MX"/>
        </w:rPr>
      </w:pPr>
      <w:r w:rsidRPr="00423C60">
        <w:rPr>
          <w:rFonts w:ascii="Arial" w:hAnsi="Arial" w:cs="Arial"/>
          <w:b/>
          <w:sz w:val="20"/>
          <w:szCs w:val="22"/>
          <w:lang w:val="es-MX"/>
        </w:rPr>
        <w:t xml:space="preserve"> </w:t>
      </w:r>
    </w:p>
    <w:p w14:paraId="7785D11C" w14:textId="499160CA" w:rsidR="00210473" w:rsidRPr="00423C60" w:rsidRDefault="00210473" w:rsidP="00210473">
      <w:pPr>
        <w:spacing w:line="0" w:lineRule="atLeast"/>
        <w:ind w:right="-25"/>
        <w:jc w:val="both"/>
        <w:rPr>
          <w:rFonts w:ascii="Arial" w:hAnsi="Arial" w:cs="Arial"/>
          <w:color w:val="000000" w:themeColor="text1"/>
          <w:sz w:val="20"/>
          <w:szCs w:val="22"/>
          <w:lang w:val="es-MX" w:eastAsia="es-MX"/>
        </w:rPr>
      </w:pPr>
      <w:r w:rsidRPr="00423C60">
        <w:rPr>
          <w:rFonts w:ascii="Arial" w:hAnsi="Arial" w:cs="Arial"/>
          <w:color w:val="000000" w:themeColor="text1"/>
          <w:sz w:val="20"/>
          <w:szCs w:val="22"/>
          <w:lang w:val="es-MX" w:eastAsia="es-MX"/>
        </w:rPr>
        <w:t>Con fundamento en lo establecido por los artículos 134 de la Constitución Política de los Estados Unidos Mexicanos, 137 de la Constitución Política del Estado Libre y Soberano de Oaxaca</w:t>
      </w:r>
      <w:r w:rsidR="00C61CA3" w:rsidRPr="00423C60">
        <w:rPr>
          <w:rFonts w:ascii="Arial" w:hAnsi="Arial" w:cs="Arial"/>
          <w:color w:val="000000" w:themeColor="text1"/>
          <w:sz w:val="20"/>
          <w:szCs w:val="22"/>
          <w:lang w:val="es-MX" w:eastAsia="es-MX"/>
        </w:rPr>
        <w:t xml:space="preserve">; </w:t>
      </w:r>
      <w:r w:rsidR="00423C60" w:rsidRPr="00B93502">
        <w:rPr>
          <w:rFonts w:ascii="Arial" w:hAnsi="Arial" w:cs="Arial"/>
          <w:sz w:val="20"/>
          <w:szCs w:val="22"/>
          <w:lang w:val="es-MX" w:eastAsia="es-MX"/>
        </w:rPr>
        <w:t>25 fracción V, 39, 40, 41, 48 y 49 del capítulo V de la Ley de Coordinación Fiscal</w:t>
      </w:r>
      <w:r w:rsidR="00EC0C89" w:rsidRPr="00423C60">
        <w:rPr>
          <w:rFonts w:ascii="Arial" w:hAnsi="Arial" w:cs="Arial"/>
          <w:color w:val="000000" w:themeColor="text1"/>
          <w:sz w:val="20"/>
          <w:szCs w:val="22"/>
          <w:lang w:val="es-MX" w:eastAsia="es-MX"/>
        </w:rPr>
        <w:t xml:space="preserve">; </w:t>
      </w:r>
      <w:r w:rsidR="00C61CA3" w:rsidRPr="00B93502">
        <w:rPr>
          <w:rFonts w:ascii="Arial" w:hAnsi="Arial" w:cs="Arial"/>
          <w:sz w:val="20"/>
          <w:szCs w:val="22"/>
          <w:lang w:val="es-MX" w:eastAsia="es-MX"/>
        </w:rPr>
        <w:t>artículo 3 fracción II y 60 de la Ley orgánica del Poder Ejecutivo del Estado de Oaxaca;</w:t>
      </w:r>
      <w:r w:rsidRPr="00B93502">
        <w:rPr>
          <w:rFonts w:ascii="Arial" w:hAnsi="Arial" w:cs="Arial"/>
          <w:sz w:val="20"/>
          <w:szCs w:val="22"/>
          <w:lang w:val="es-MX" w:eastAsia="es-MX"/>
        </w:rPr>
        <w:t xml:space="preserve"> </w:t>
      </w:r>
      <w:r w:rsidR="00C75349" w:rsidRPr="00B93502">
        <w:rPr>
          <w:rFonts w:ascii="Tahoma" w:hAnsi="Tahoma" w:cs="Tahoma"/>
          <w:sz w:val="20"/>
          <w:szCs w:val="20"/>
        </w:rPr>
        <w:t xml:space="preserve">57 fracción I, 102 inciso c), 104 del Reglamento de la Ley Estatal de Presupuesto y Responsabilidad Hacendaria; </w:t>
      </w:r>
      <w:r w:rsidR="00B65E65" w:rsidRPr="00B93502">
        <w:rPr>
          <w:rFonts w:ascii="Tahoma" w:hAnsi="Tahoma" w:cs="Tahoma"/>
          <w:sz w:val="20"/>
          <w:szCs w:val="20"/>
        </w:rPr>
        <w:t>artículos</w:t>
      </w:r>
      <w:r w:rsidR="00C75349" w:rsidRPr="00B93502">
        <w:rPr>
          <w:rFonts w:ascii="Tahoma" w:hAnsi="Tahoma" w:cs="Tahoma"/>
          <w:sz w:val="20"/>
          <w:szCs w:val="20"/>
        </w:rPr>
        <w:t xml:space="preserve"> </w:t>
      </w:r>
      <w:r w:rsidR="00C75349">
        <w:rPr>
          <w:rFonts w:ascii="Tahoma" w:hAnsi="Tahoma" w:cs="Tahoma"/>
          <w:color w:val="000000"/>
          <w:sz w:val="20"/>
          <w:szCs w:val="20"/>
        </w:rPr>
        <w:t>2,</w:t>
      </w:r>
      <w:r w:rsidR="00B65E65" w:rsidRPr="00B65E65">
        <w:rPr>
          <w:rFonts w:ascii="Tahoma" w:hAnsi="Tahoma" w:cs="Tahoma"/>
          <w:color w:val="000000"/>
          <w:sz w:val="20"/>
          <w:szCs w:val="20"/>
        </w:rPr>
        <w:t xml:space="preserve"> </w:t>
      </w:r>
      <w:r w:rsidR="00C75349">
        <w:rPr>
          <w:rFonts w:ascii="Tahoma" w:hAnsi="Tahoma" w:cs="Tahoma"/>
          <w:color w:val="000000"/>
          <w:sz w:val="20"/>
          <w:szCs w:val="20"/>
        </w:rPr>
        <w:t>3, fracción II, VII y XIII, 4 fracción I, 5, 7, 11, 12, 21, 22, 25 fracción X, 28 fracción II, 45, 46 fracción VI y 47</w:t>
      </w:r>
      <w:r w:rsidR="00F12267">
        <w:rPr>
          <w:rFonts w:ascii="Tahoma" w:hAnsi="Tahoma" w:cs="Tahoma"/>
          <w:color w:val="000000"/>
          <w:sz w:val="20"/>
          <w:szCs w:val="20"/>
        </w:rPr>
        <w:t xml:space="preserve"> </w:t>
      </w:r>
      <w:r w:rsidRPr="00423C60">
        <w:rPr>
          <w:rFonts w:ascii="Arial" w:hAnsi="Arial" w:cs="Arial"/>
          <w:color w:val="000000" w:themeColor="text1"/>
          <w:sz w:val="20"/>
          <w:szCs w:val="22"/>
          <w:lang w:val="es-MX" w:eastAsia="es-MX"/>
        </w:rPr>
        <w:t>de la Ley de Adquisiciones, Enajenaciones, Arrendamientos, Prestación de Servicios y Administración de Bienes Muebles e Inmuebles del Estado de Oaxaca</w:t>
      </w:r>
      <w:r w:rsidR="00B85FAD" w:rsidRPr="00423C60">
        <w:rPr>
          <w:rFonts w:ascii="Arial" w:hAnsi="Arial" w:cs="Arial"/>
          <w:color w:val="000000" w:themeColor="text1"/>
          <w:sz w:val="20"/>
          <w:szCs w:val="22"/>
          <w:lang w:val="es-MX" w:eastAsia="es-MX"/>
        </w:rPr>
        <w:t>;</w:t>
      </w:r>
      <w:r w:rsidRPr="00423C60">
        <w:rPr>
          <w:rFonts w:ascii="Arial" w:hAnsi="Arial" w:cs="Arial"/>
          <w:color w:val="000000" w:themeColor="text1"/>
          <w:sz w:val="20"/>
          <w:szCs w:val="22"/>
          <w:lang w:val="es-MX" w:eastAsia="es-MX"/>
        </w:rPr>
        <w:t xml:space="preserve"> </w:t>
      </w:r>
      <w:r w:rsidR="00DA7A48" w:rsidRPr="00334498">
        <w:rPr>
          <w:rFonts w:ascii="Arial" w:hAnsi="Arial" w:cs="Arial"/>
          <w:sz w:val="20"/>
          <w:szCs w:val="22"/>
          <w:lang w:val="es-MX" w:eastAsia="es-MX"/>
        </w:rPr>
        <w:t>artículo</w:t>
      </w:r>
      <w:r w:rsidR="00334498" w:rsidRPr="00334498">
        <w:rPr>
          <w:rFonts w:ascii="Arial" w:hAnsi="Arial" w:cs="Arial"/>
          <w:sz w:val="20"/>
          <w:szCs w:val="22"/>
          <w:lang w:val="es-MX" w:eastAsia="es-MX"/>
        </w:rPr>
        <w:t xml:space="preserve">s 2 fracción II y VII, </w:t>
      </w:r>
      <w:r w:rsidR="00DA7A48" w:rsidRPr="00334498">
        <w:rPr>
          <w:rFonts w:ascii="Arial" w:hAnsi="Arial" w:cs="Arial"/>
          <w:sz w:val="20"/>
          <w:szCs w:val="22"/>
          <w:lang w:val="es-MX" w:eastAsia="es-MX"/>
        </w:rPr>
        <w:t xml:space="preserve"> 18, 19</w:t>
      </w:r>
      <w:r w:rsidR="00131526" w:rsidRPr="00334498">
        <w:rPr>
          <w:rFonts w:ascii="Arial" w:hAnsi="Arial" w:cs="Arial"/>
          <w:sz w:val="20"/>
          <w:szCs w:val="22"/>
          <w:lang w:val="es-MX" w:eastAsia="es-MX"/>
        </w:rPr>
        <w:t xml:space="preserve"> </w:t>
      </w:r>
      <w:r w:rsidR="00C517C5" w:rsidRPr="00334498">
        <w:rPr>
          <w:rFonts w:ascii="Arial" w:hAnsi="Arial" w:cs="Arial"/>
          <w:sz w:val="20"/>
          <w:szCs w:val="22"/>
          <w:lang w:val="es-MX" w:eastAsia="es-MX"/>
        </w:rPr>
        <w:t>fracción</w:t>
      </w:r>
      <w:r w:rsidR="00131526" w:rsidRPr="00334498">
        <w:rPr>
          <w:rFonts w:ascii="Arial" w:hAnsi="Arial" w:cs="Arial"/>
          <w:sz w:val="20"/>
          <w:szCs w:val="22"/>
          <w:lang w:val="es-MX" w:eastAsia="es-MX"/>
        </w:rPr>
        <w:t xml:space="preserve"> </w:t>
      </w:r>
      <w:r w:rsidR="002E2019" w:rsidRPr="00334498">
        <w:rPr>
          <w:rFonts w:ascii="Arial" w:hAnsi="Arial" w:cs="Arial"/>
          <w:sz w:val="20"/>
          <w:szCs w:val="22"/>
          <w:lang w:val="es-MX" w:eastAsia="es-MX"/>
        </w:rPr>
        <w:t>I</w:t>
      </w:r>
      <w:r w:rsidR="00334498" w:rsidRPr="00334498">
        <w:rPr>
          <w:rFonts w:ascii="Arial" w:hAnsi="Arial" w:cs="Arial"/>
          <w:sz w:val="20"/>
          <w:szCs w:val="22"/>
          <w:lang w:val="es-MX" w:eastAsia="es-MX"/>
        </w:rPr>
        <w:t>I</w:t>
      </w:r>
      <w:r w:rsidR="00423C60" w:rsidRPr="00334498">
        <w:rPr>
          <w:rFonts w:ascii="Arial" w:hAnsi="Arial" w:cs="Arial"/>
          <w:sz w:val="20"/>
          <w:szCs w:val="22"/>
          <w:lang w:val="es-MX" w:eastAsia="es-MX"/>
        </w:rPr>
        <w:t>, 20, 21, 22, 23</w:t>
      </w:r>
      <w:r w:rsidR="00334498" w:rsidRPr="00334498">
        <w:rPr>
          <w:rFonts w:ascii="Arial" w:hAnsi="Arial" w:cs="Arial"/>
          <w:sz w:val="20"/>
          <w:szCs w:val="22"/>
          <w:lang w:val="es-MX" w:eastAsia="es-MX"/>
        </w:rPr>
        <w:t>,</w:t>
      </w:r>
      <w:r w:rsidR="00DA7A48" w:rsidRPr="00334498">
        <w:rPr>
          <w:rFonts w:ascii="Arial" w:hAnsi="Arial" w:cs="Arial"/>
          <w:sz w:val="20"/>
          <w:szCs w:val="22"/>
          <w:lang w:val="es-MX" w:eastAsia="es-MX"/>
        </w:rPr>
        <w:t xml:space="preserve"> </w:t>
      </w:r>
      <w:r w:rsidR="00334498" w:rsidRPr="00334498">
        <w:rPr>
          <w:rFonts w:ascii="Arial" w:hAnsi="Arial" w:cs="Arial"/>
          <w:sz w:val="20"/>
          <w:szCs w:val="22"/>
          <w:lang w:val="es-MX" w:eastAsia="es-MX"/>
        </w:rPr>
        <w:t xml:space="preserve">24, </w:t>
      </w:r>
      <w:r w:rsidRPr="00334498">
        <w:rPr>
          <w:rFonts w:ascii="Arial" w:hAnsi="Arial" w:cs="Arial"/>
          <w:sz w:val="20"/>
          <w:szCs w:val="22"/>
          <w:lang w:val="es-MX" w:eastAsia="es-MX"/>
        </w:rPr>
        <w:t>2</w:t>
      </w:r>
      <w:r w:rsidR="00334498" w:rsidRPr="00334498">
        <w:rPr>
          <w:rFonts w:ascii="Arial" w:hAnsi="Arial" w:cs="Arial"/>
          <w:sz w:val="20"/>
          <w:szCs w:val="22"/>
          <w:lang w:val="es-MX" w:eastAsia="es-MX"/>
        </w:rPr>
        <w:t>6</w:t>
      </w:r>
      <w:r w:rsidR="00334498">
        <w:rPr>
          <w:rFonts w:ascii="Arial" w:hAnsi="Arial" w:cs="Arial"/>
          <w:sz w:val="20"/>
          <w:szCs w:val="22"/>
          <w:lang w:val="es-MX" w:eastAsia="es-MX"/>
        </w:rPr>
        <w:t xml:space="preserve"> fracción II, 44 y </w:t>
      </w:r>
      <w:r w:rsidR="00334498" w:rsidRPr="00334498">
        <w:rPr>
          <w:rFonts w:ascii="Arial" w:hAnsi="Arial" w:cs="Arial"/>
          <w:sz w:val="20"/>
          <w:szCs w:val="22"/>
          <w:lang w:val="es-MX" w:eastAsia="es-MX"/>
        </w:rPr>
        <w:t>45</w:t>
      </w:r>
      <w:r w:rsidR="00334498">
        <w:rPr>
          <w:rFonts w:ascii="Arial" w:hAnsi="Arial" w:cs="Arial"/>
          <w:sz w:val="20"/>
          <w:szCs w:val="22"/>
          <w:lang w:val="es-MX" w:eastAsia="es-MX"/>
        </w:rPr>
        <w:t xml:space="preserve"> fracción VI</w:t>
      </w:r>
      <w:r w:rsidR="00DA7A48" w:rsidRPr="00334498">
        <w:rPr>
          <w:rFonts w:ascii="Arial" w:hAnsi="Arial" w:cs="Arial"/>
          <w:sz w:val="20"/>
          <w:szCs w:val="22"/>
          <w:lang w:val="es-MX" w:eastAsia="es-MX"/>
        </w:rPr>
        <w:t xml:space="preserve"> </w:t>
      </w:r>
      <w:r w:rsidR="00423C60" w:rsidRPr="00334498">
        <w:rPr>
          <w:rFonts w:ascii="Arial" w:hAnsi="Arial" w:cs="Arial"/>
          <w:sz w:val="20"/>
          <w:szCs w:val="22"/>
          <w:lang w:val="es-MX" w:eastAsia="es-MX"/>
        </w:rPr>
        <w:t>de su Reglamento</w:t>
      </w:r>
      <w:r w:rsidR="00D344DF" w:rsidRPr="00334498">
        <w:rPr>
          <w:rFonts w:ascii="Arial" w:hAnsi="Arial" w:cs="Arial"/>
          <w:sz w:val="20"/>
          <w:szCs w:val="22"/>
          <w:lang w:val="es-MX" w:eastAsia="es-MX"/>
        </w:rPr>
        <w:t xml:space="preserve">; </w:t>
      </w:r>
      <w:r w:rsidR="00423C60" w:rsidRPr="00423C60">
        <w:rPr>
          <w:rFonts w:ascii="Arial" w:hAnsi="Arial" w:cs="Arial"/>
          <w:color w:val="000000" w:themeColor="text1"/>
          <w:sz w:val="20"/>
          <w:szCs w:val="22"/>
          <w:lang w:val="es-MX" w:eastAsia="es-MX"/>
        </w:rPr>
        <w:t xml:space="preserve">artículo 88 del Decreto de Presupuesto de Egresos del Estado de Oaxaca </w:t>
      </w:r>
      <w:r w:rsidR="00334498">
        <w:rPr>
          <w:rFonts w:ascii="Arial" w:hAnsi="Arial" w:cs="Arial"/>
          <w:color w:val="000000" w:themeColor="text1"/>
          <w:sz w:val="20"/>
          <w:szCs w:val="22"/>
          <w:lang w:val="es-MX" w:eastAsia="es-MX"/>
        </w:rPr>
        <w:t>para el Ejercicio Fiscal 2023</w:t>
      </w:r>
      <w:r w:rsidR="00334498" w:rsidRPr="00D87684">
        <w:rPr>
          <w:rFonts w:ascii="Arial" w:hAnsi="Arial" w:cs="Arial"/>
          <w:sz w:val="20"/>
          <w:szCs w:val="22"/>
          <w:lang w:val="es-MX" w:eastAsia="es-MX"/>
        </w:rPr>
        <w:t xml:space="preserve">; </w:t>
      </w:r>
      <w:r w:rsidR="00423C60" w:rsidRPr="00D87684">
        <w:rPr>
          <w:rFonts w:ascii="Arial" w:hAnsi="Arial" w:cs="Arial"/>
          <w:sz w:val="20"/>
          <w:szCs w:val="22"/>
          <w:lang w:val="es-MX" w:eastAsia="es-MX"/>
        </w:rPr>
        <w:t>numerales d</w:t>
      </w:r>
      <w:r w:rsidR="00D87684" w:rsidRPr="00D87684">
        <w:rPr>
          <w:rFonts w:ascii="Arial" w:hAnsi="Arial" w:cs="Arial"/>
          <w:sz w:val="20"/>
          <w:szCs w:val="22"/>
          <w:lang w:val="es-MX" w:eastAsia="es-MX"/>
        </w:rPr>
        <w:t>é</w:t>
      </w:r>
      <w:r w:rsidR="00423C60" w:rsidRPr="00D87684">
        <w:rPr>
          <w:rFonts w:ascii="Arial" w:hAnsi="Arial" w:cs="Arial"/>
          <w:sz w:val="20"/>
          <w:szCs w:val="22"/>
          <w:lang w:val="es-MX" w:eastAsia="es-MX"/>
        </w:rPr>
        <w:t xml:space="preserve">cimo del Decreto por él se establecen las medidas de austeridad que deberán observar las dependencias y entidades de la Administración Pública Estatal en observancia a la Ley Estatal de Austeridad Republicana, artículo 15 de la Ley Estatal de Austeridad Republicana; </w:t>
      </w:r>
      <w:r w:rsidR="00EB069C" w:rsidRPr="00423C60">
        <w:rPr>
          <w:rFonts w:ascii="Arial" w:hAnsi="Arial" w:cs="Arial"/>
          <w:color w:val="000000" w:themeColor="text1"/>
          <w:sz w:val="20"/>
          <w:szCs w:val="22"/>
          <w:lang w:val="es-MX" w:eastAsia="es-MX"/>
        </w:rPr>
        <w:t xml:space="preserve">5, </w:t>
      </w:r>
      <w:r w:rsidR="00D344DF" w:rsidRPr="00423C60">
        <w:rPr>
          <w:rFonts w:ascii="Arial" w:hAnsi="Arial" w:cs="Arial"/>
          <w:color w:val="000000" w:themeColor="text1"/>
          <w:sz w:val="20"/>
          <w:szCs w:val="22"/>
          <w:lang w:val="es-MX" w:eastAsia="es-MX"/>
        </w:rPr>
        <w:t>6, 8</w:t>
      </w:r>
      <w:r w:rsidR="00C61CA3" w:rsidRPr="00423C60">
        <w:rPr>
          <w:rFonts w:ascii="Arial" w:hAnsi="Arial" w:cs="Arial"/>
          <w:color w:val="000000" w:themeColor="text1"/>
          <w:sz w:val="20"/>
          <w:szCs w:val="22"/>
          <w:lang w:val="es-MX" w:eastAsia="es-MX"/>
        </w:rPr>
        <w:t xml:space="preserve"> fracción V</w:t>
      </w:r>
      <w:r w:rsidR="00D344DF" w:rsidRPr="00423C60">
        <w:rPr>
          <w:rFonts w:ascii="Arial" w:hAnsi="Arial" w:cs="Arial"/>
          <w:color w:val="000000" w:themeColor="text1"/>
          <w:sz w:val="20"/>
          <w:szCs w:val="22"/>
          <w:lang w:val="es-MX" w:eastAsia="es-MX"/>
        </w:rPr>
        <w:t>, 2</w:t>
      </w:r>
      <w:r w:rsidR="00EB069C" w:rsidRPr="00423C60">
        <w:rPr>
          <w:rFonts w:ascii="Arial" w:hAnsi="Arial" w:cs="Arial"/>
          <w:color w:val="000000" w:themeColor="text1"/>
          <w:sz w:val="20"/>
          <w:szCs w:val="22"/>
          <w:lang w:val="es-MX" w:eastAsia="es-MX"/>
        </w:rPr>
        <w:t>5</w:t>
      </w:r>
      <w:r w:rsidR="00D344DF" w:rsidRPr="00423C60">
        <w:rPr>
          <w:rFonts w:ascii="Arial" w:hAnsi="Arial" w:cs="Arial"/>
          <w:color w:val="000000" w:themeColor="text1"/>
          <w:sz w:val="20"/>
          <w:szCs w:val="22"/>
          <w:lang w:val="es-MX" w:eastAsia="es-MX"/>
        </w:rPr>
        <w:t xml:space="preserve"> fracción I, </w:t>
      </w:r>
      <w:r w:rsidR="00EB069C" w:rsidRPr="00423C60">
        <w:rPr>
          <w:rFonts w:ascii="Arial" w:hAnsi="Arial" w:cs="Arial"/>
          <w:color w:val="000000" w:themeColor="text1"/>
          <w:sz w:val="20"/>
          <w:szCs w:val="22"/>
          <w:lang w:val="es-MX" w:eastAsia="es-MX"/>
        </w:rPr>
        <w:t xml:space="preserve">26 y </w:t>
      </w:r>
      <w:r w:rsidR="00D344DF" w:rsidRPr="00423C60">
        <w:rPr>
          <w:rFonts w:ascii="Arial" w:hAnsi="Arial" w:cs="Arial"/>
          <w:color w:val="000000" w:themeColor="text1"/>
          <w:sz w:val="20"/>
          <w:szCs w:val="22"/>
          <w:lang w:val="es-MX" w:eastAsia="es-MX"/>
        </w:rPr>
        <w:t xml:space="preserve">28 </w:t>
      </w:r>
      <w:r w:rsidR="00EB069C" w:rsidRPr="00423C60">
        <w:rPr>
          <w:rFonts w:ascii="Arial" w:hAnsi="Arial" w:cs="Arial"/>
          <w:color w:val="000000" w:themeColor="text1"/>
          <w:sz w:val="20"/>
          <w:szCs w:val="22"/>
          <w:lang w:val="es-MX" w:eastAsia="es-MX"/>
        </w:rPr>
        <w:t xml:space="preserve">fracción I </w:t>
      </w:r>
      <w:r w:rsidR="00D344DF" w:rsidRPr="00423C60">
        <w:rPr>
          <w:rFonts w:ascii="Arial" w:hAnsi="Arial" w:cs="Arial"/>
          <w:color w:val="000000" w:themeColor="text1"/>
          <w:sz w:val="20"/>
          <w:szCs w:val="22"/>
          <w:lang w:val="es-MX" w:eastAsia="es-MX"/>
        </w:rPr>
        <w:t xml:space="preserve">del Reglamento Interno de la </w:t>
      </w:r>
      <w:r w:rsidR="00423C60">
        <w:rPr>
          <w:rFonts w:ascii="Arial" w:hAnsi="Arial" w:cs="Arial"/>
          <w:color w:val="000000" w:themeColor="text1"/>
          <w:sz w:val="20"/>
          <w:szCs w:val="22"/>
          <w:lang w:val="es-MX" w:eastAsia="es-MX"/>
        </w:rPr>
        <w:t>Universidad de la Cañada,</w:t>
      </w:r>
      <w:r w:rsidRPr="00423C60">
        <w:rPr>
          <w:rFonts w:ascii="Arial" w:hAnsi="Arial" w:cs="Arial"/>
          <w:color w:val="000000" w:themeColor="text1"/>
          <w:sz w:val="20"/>
          <w:szCs w:val="22"/>
          <w:lang w:val="es-MX" w:eastAsia="es-MX"/>
        </w:rPr>
        <w:t xml:space="preserve"> solicito a usted lo siguiente:</w:t>
      </w:r>
    </w:p>
    <w:p w14:paraId="63B428E3" w14:textId="77777777" w:rsidR="00210473" w:rsidRPr="00423C60" w:rsidRDefault="00210473" w:rsidP="00210473">
      <w:pPr>
        <w:spacing w:line="0" w:lineRule="atLeast"/>
        <w:ind w:right="-25"/>
        <w:jc w:val="both"/>
        <w:rPr>
          <w:rFonts w:ascii="Arial" w:hAnsi="Arial" w:cs="Arial"/>
          <w:color w:val="000000" w:themeColor="text1"/>
          <w:sz w:val="20"/>
          <w:szCs w:val="22"/>
          <w:lang w:val="es-MX" w:eastAsia="es-MX"/>
        </w:rPr>
      </w:pPr>
    </w:p>
    <w:p w14:paraId="5EBC54A7" w14:textId="26392D4C" w:rsidR="0009569F" w:rsidRDefault="00F55392" w:rsidP="00766991">
      <w:pPr>
        <w:spacing w:line="0" w:lineRule="atLeast"/>
        <w:ind w:right="-25"/>
        <w:jc w:val="both"/>
        <w:rPr>
          <w:rFonts w:ascii="Arial" w:hAnsi="Arial" w:cs="Arial"/>
          <w:sz w:val="20"/>
          <w:szCs w:val="22"/>
          <w:lang w:val="es-MX" w:eastAsia="es-MX"/>
        </w:rPr>
      </w:pPr>
      <w:r>
        <w:rPr>
          <w:rFonts w:ascii="Arial" w:hAnsi="Arial" w:cs="Arial"/>
          <w:sz w:val="20"/>
          <w:szCs w:val="22"/>
          <w:lang w:val="es-MX" w:eastAsia="es-MX"/>
        </w:rPr>
        <w:t>C</w:t>
      </w:r>
      <w:r w:rsidR="007648F9">
        <w:rPr>
          <w:rFonts w:ascii="Arial" w:hAnsi="Arial" w:cs="Arial"/>
          <w:sz w:val="20"/>
          <w:szCs w:val="22"/>
          <w:lang w:val="es-MX" w:eastAsia="es-MX"/>
        </w:rPr>
        <w:t>on fundamento en el artículo 60</w:t>
      </w:r>
      <w:r w:rsidR="00C542CA">
        <w:rPr>
          <w:rFonts w:ascii="Arial" w:hAnsi="Arial" w:cs="Arial"/>
          <w:sz w:val="20"/>
          <w:szCs w:val="22"/>
          <w:lang w:val="es-MX" w:eastAsia="es-MX"/>
        </w:rPr>
        <w:t xml:space="preserve"> último párrafo y 61</w:t>
      </w:r>
      <w:r w:rsidR="007648F9">
        <w:rPr>
          <w:rFonts w:ascii="Arial" w:hAnsi="Arial" w:cs="Arial"/>
          <w:sz w:val="20"/>
          <w:szCs w:val="22"/>
          <w:lang w:val="es-MX" w:eastAsia="es-MX"/>
        </w:rPr>
        <w:t xml:space="preserve"> último párrafo</w:t>
      </w:r>
      <w:r w:rsidR="00C542CA">
        <w:rPr>
          <w:rFonts w:ascii="Arial" w:hAnsi="Arial" w:cs="Arial"/>
          <w:sz w:val="20"/>
          <w:szCs w:val="22"/>
          <w:lang w:val="es-MX" w:eastAsia="es-MX"/>
        </w:rPr>
        <w:t xml:space="preserve"> de la Ley en materia</w:t>
      </w:r>
      <w:r w:rsidR="007648F9">
        <w:rPr>
          <w:rFonts w:ascii="Arial" w:hAnsi="Arial" w:cs="Arial"/>
          <w:sz w:val="20"/>
          <w:szCs w:val="22"/>
          <w:lang w:val="es-MX" w:eastAsia="es-MX"/>
        </w:rPr>
        <w:t xml:space="preserve"> </w:t>
      </w:r>
      <w:r w:rsidR="0009569F">
        <w:rPr>
          <w:rFonts w:ascii="Arial" w:hAnsi="Arial" w:cs="Arial"/>
          <w:sz w:val="20"/>
          <w:szCs w:val="22"/>
          <w:lang w:val="es-MX" w:eastAsia="es-MX"/>
        </w:rPr>
        <w:t>se</w:t>
      </w:r>
      <w:r w:rsidR="00FC206B">
        <w:rPr>
          <w:rFonts w:ascii="Arial" w:hAnsi="Arial" w:cs="Arial"/>
          <w:sz w:val="20"/>
          <w:szCs w:val="22"/>
          <w:lang w:val="es-MX" w:eastAsia="es-MX"/>
        </w:rPr>
        <w:t xml:space="preserve"> ha</w:t>
      </w:r>
      <w:r w:rsidR="00741484">
        <w:rPr>
          <w:rFonts w:ascii="Arial" w:hAnsi="Arial" w:cs="Arial"/>
          <w:sz w:val="20"/>
          <w:szCs w:val="22"/>
          <w:lang w:val="es-MX" w:eastAsia="es-MX"/>
        </w:rPr>
        <w:t xml:space="preserve"> </w:t>
      </w:r>
      <w:r w:rsidR="0009569F">
        <w:rPr>
          <w:rFonts w:ascii="Arial" w:hAnsi="Arial" w:cs="Arial"/>
          <w:sz w:val="20"/>
          <w:szCs w:val="22"/>
          <w:lang w:val="es-MX" w:eastAsia="es-MX"/>
        </w:rPr>
        <w:t>rescindido</w:t>
      </w:r>
      <w:r w:rsidR="00741484">
        <w:rPr>
          <w:rFonts w:ascii="Arial" w:hAnsi="Arial" w:cs="Arial"/>
          <w:sz w:val="20"/>
          <w:szCs w:val="22"/>
          <w:lang w:val="es-MX" w:eastAsia="es-MX"/>
        </w:rPr>
        <w:t xml:space="preserve"> administrativamente por incumplimiento</w:t>
      </w:r>
      <w:r w:rsidR="0009569F">
        <w:rPr>
          <w:rFonts w:ascii="Arial" w:hAnsi="Arial" w:cs="Arial"/>
          <w:sz w:val="20"/>
          <w:szCs w:val="22"/>
          <w:lang w:val="es-MX" w:eastAsia="es-MX"/>
        </w:rPr>
        <w:t xml:space="preserve"> </w:t>
      </w:r>
      <w:r w:rsidR="00741484">
        <w:rPr>
          <w:rFonts w:ascii="Arial" w:hAnsi="Arial" w:cs="Arial"/>
          <w:sz w:val="20"/>
          <w:szCs w:val="22"/>
          <w:lang w:val="es-MX" w:eastAsia="es-MX"/>
        </w:rPr>
        <w:t>d</w:t>
      </w:r>
      <w:r w:rsidR="0009569F">
        <w:rPr>
          <w:rFonts w:ascii="Arial" w:hAnsi="Arial" w:cs="Arial"/>
          <w:sz w:val="20"/>
          <w:szCs w:val="22"/>
          <w:lang w:val="es-MX" w:eastAsia="es-MX"/>
        </w:rPr>
        <w:t xml:space="preserve">el contrato número </w:t>
      </w:r>
      <w:r w:rsidR="0009569F" w:rsidRPr="0009569F">
        <w:rPr>
          <w:rFonts w:ascii="Arial" w:hAnsi="Arial" w:cs="Arial"/>
          <w:sz w:val="20"/>
          <w:szCs w:val="22"/>
          <w:lang w:val="es-MX" w:eastAsia="es-MX"/>
        </w:rPr>
        <w:t>UNCA03/IAE-SA-UC-0009-08/2023</w:t>
      </w:r>
      <w:r w:rsidR="0009569F">
        <w:rPr>
          <w:rFonts w:ascii="Arial" w:hAnsi="Arial" w:cs="Arial"/>
          <w:sz w:val="20"/>
          <w:szCs w:val="22"/>
          <w:lang w:val="es-MX" w:eastAsia="es-MX"/>
        </w:rPr>
        <w:t xml:space="preserve"> </w:t>
      </w:r>
      <w:r>
        <w:rPr>
          <w:rFonts w:ascii="Arial" w:hAnsi="Arial" w:cs="Arial"/>
          <w:sz w:val="20"/>
          <w:szCs w:val="22"/>
          <w:lang w:val="es-MX" w:eastAsia="es-MX"/>
        </w:rPr>
        <w:t>de fecha 17 de octubre de 2023 suscrito entre la Universidad de la Cañada representada por la Mtra. María de los Ángeles Peralta Arias, en su calidad de Rectora y el proveedor</w:t>
      </w:r>
      <w:r w:rsidR="00862CB3">
        <w:rPr>
          <w:rFonts w:ascii="Arial" w:hAnsi="Arial" w:cs="Arial"/>
          <w:sz w:val="20"/>
          <w:szCs w:val="22"/>
          <w:lang w:val="es-MX" w:eastAsia="es-MX"/>
        </w:rPr>
        <w:t>,</w:t>
      </w:r>
      <w:r>
        <w:rPr>
          <w:rFonts w:ascii="Arial" w:hAnsi="Arial" w:cs="Arial"/>
          <w:sz w:val="20"/>
          <w:szCs w:val="22"/>
          <w:lang w:val="es-MX" w:eastAsia="es-MX"/>
        </w:rPr>
        <w:t xml:space="preserve"> la persona física C. Rodolfo Carro López, quien resultó ganador de</w:t>
      </w:r>
      <w:r w:rsidR="0009569F">
        <w:rPr>
          <w:rFonts w:ascii="Arial" w:hAnsi="Arial" w:cs="Arial"/>
          <w:sz w:val="20"/>
          <w:szCs w:val="22"/>
          <w:lang w:val="es-MX" w:eastAsia="es-MX"/>
        </w:rPr>
        <w:t xml:space="preserve"> la </w:t>
      </w:r>
      <w:r w:rsidR="00E106EC" w:rsidRPr="00E106EC">
        <w:rPr>
          <w:rFonts w:ascii="Arial" w:hAnsi="Arial" w:cs="Arial"/>
          <w:b/>
          <w:sz w:val="20"/>
          <w:szCs w:val="22"/>
          <w:lang w:val="es-MX" w:eastAsia="es-MX"/>
        </w:rPr>
        <w:t>Invitación Abierta Estatal IAE-SA-UC-0009-08/2023</w:t>
      </w:r>
      <w:r w:rsidR="00E106EC">
        <w:rPr>
          <w:rFonts w:ascii="Arial" w:hAnsi="Arial" w:cs="Arial"/>
          <w:b/>
          <w:sz w:val="20"/>
          <w:szCs w:val="22"/>
          <w:lang w:val="es-MX" w:eastAsia="es-MX"/>
        </w:rPr>
        <w:t xml:space="preserve"> </w:t>
      </w:r>
      <w:r w:rsidR="00862CB3">
        <w:rPr>
          <w:rFonts w:ascii="Arial" w:hAnsi="Arial" w:cs="Arial"/>
          <w:sz w:val="20"/>
          <w:szCs w:val="22"/>
          <w:lang w:val="es-MX" w:eastAsia="es-MX"/>
        </w:rPr>
        <w:t xml:space="preserve">a quien </w:t>
      </w:r>
      <w:r w:rsidR="006850F7">
        <w:rPr>
          <w:rFonts w:ascii="Arial" w:hAnsi="Arial" w:cs="Arial"/>
          <w:sz w:val="20"/>
          <w:szCs w:val="22"/>
          <w:lang w:val="es-MX" w:eastAsia="es-MX"/>
        </w:rPr>
        <w:t>en cumplimiento al acuerdo número CAEASEO II 1.1, Sesión Ordinaria 028/2023, del 03 de octubre de 2023, emitido por el Comité de Adquisiciones</w:t>
      </w:r>
      <w:r w:rsidR="00E106EC" w:rsidRPr="00C542CA">
        <w:rPr>
          <w:rFonts w:ascii="Arial" w:hAnsi="Arial" w:cs="Arial"/>
          <w:sz w:val="20"/>
          <w:szCs w:val="22"/>
          <w:lang w:val="es-MX" w:eastAsia="es-MX"/>
        </w:rPr>
        <w:t>,</w:t>
      </w:r>
      <w:r w:rsidR="006850F7">
        <w:rPr>
          <w:rFonts w:ascii="Arial" w:hAnsi="Arial" w:cs="Arial"/>
          <w:sz w:val="20"/>
          <w:szCs w:val="22"/>
          <w:lang w:val="es-MX" w:eastAsia="es-MX"/>
        </w:rPr>
        <w:t xml:space="preserve"> Enajenaciones, Arrendamientos y Servicios del Estado de Oaxaca, correspondiente a la Vigésima Octava Sesión Ordinaria, en el cual</w:t>
      </w:r>
      <w:r w:rsidR="00C84A5F">
        <w:rPr>
          <w:rFonts w:ascii="Arial" w:hAnsi="Arial" w:cs="Arial"/>
          <w:sz w:val="20"/>
          <w:szCs w:val="22"/>
          <w:lang w:val="es-MX" w:eastAsia="es-MX"/>
        </w:rPr>
        <w:t xml:space="preserve"> se</w:t>
      </w:r>
      <w:r w:rsidR="006850F7">
        <w:rPr>
          <w:rFonts w:ascii="Arial" w:hAnsi="Arial" w:cs="Arial"/>
          <w:sz w:val="20"/>
          <w:szCs w:val="22"/>
          <w:lang w:val="es-MX" w:eastAsia="es-MX"/>
        </w:rPr>
        <w:t xml:space="preserve"> dictaminó y emitió el fallo del procedimiento de contratación referi</w:t>
      </w:r>
      <w:r w:rsidR="00862CB3">
        <w:rPr>
          <w:rFonts w:ascii="Arial" w:hAnsi="Arial" w:cs="Arial"/>
          <w:sz w:val="20"/>
          <w:szCs w:val="22"/>
          <w:lang w:val="es-MX" w:eastAsia="es-MX"/>
        </w:rPr>
        <w:t>da</w:t>
      </w:r>
      <w:r w:rsidR="00C84A5F">
        <w:rPr>
          <w:rFonts w:ascii="Arial" w:hAnsi="Arial" w:cs="Arial"/>
          <w:sz w:val="20"/>
          <w:szCs w:val="22"/>
          <w:lang w:val="es-MX" w:eastAsia="es-MX"/>
        </w:rPr>
        <w:t xml:space="preserve"> adjudicándosele</w:t>
      </w:r>
      <w:r w:rsidR="00AF50FA">
        <w:rPr>
          <w:rFonts w:ascii="Arial" w:hAnsi="Arial" w:cs="Arial"/>
          <w:sz w:val="20"/>
          <w:szCs w:val="22"/>
          <w:lang w:val="es-MX" w:eastAsia="es-MX"/>
        </w:rPr>
        <w:t xml:space="preserve"> las partidas 3, 4, 5 y 6</w:t>
      </w:r>
      <w:r w:rsidR="00E106EC" w:rsidRPr="00C542CA">
        <w:rPr>
          <w:rFonts w:ascii="Arial" w:hAnsi="Arial" w:cs="Arial"/>
          <w:sz w:val="20"/>
          <w:szCs w:val="22"/>
          <w:lang w:val="es-MX" w:eastAsia="es-MX"/>
        </w:rPr>
        <w:t xml:space="preserve"> </w:t>
      </w:r>
      <w:r w:rsidR="00C84A5F">
        <w:rPr>
          <w:rFonts w:ascii="Arial" w:hAnsi="Arial" w:cs="Arial"/>
          <w:sz w:val="20"/>
          <w:szCs w:val="22"/>
          <w:lang w:val="es-MX" w:eastAsia="es-MX"/>
        </w:rPr>
        <w:t>mediante</w:t>
      </w:r>
      <w:r w:rsidR="00C542CA" w:rsidRPr="00C542CA">
        <w:rPr>
          <w:rFonts w:ascii="Arial" w:hAnsi="Arial" w:cs="Arial"/>
          <w:sz w:val="20"/>
          <w:szCs w:val="22"/>
          <w:lang w:val="es-MX" w:eastAsia="es-MX"/>
        </w:rPr>
        <w:t xml:space="preserve"> la</w:t>
      </w:r>
      <w:r w:rsidR="00C542CA">
        <w:rPr>
          <w:rFonts w:ascii="Arial" w:hAnsi="Arial" w:cs="Arial"/>
          <w:b/>
          <w:sz w:val="20"/>
          <w:szCs w:val="22"/>
          <w:lang w:val="es-MX" w:eastAsia="es-MX"/>
        </w:rPr>
        <w:t xml:space="preserve"> </w:t>
      </w:r>
      <w:r w:rsidR="00E106EC" w:rsidRPr="00E106EC">
        <w:rPr>
          <w:rFonts w:ascii="Arial" w:hAnsi="Arial" w:cs="Arial"/>
          <w:sz w:val="20"/>
          <w:szCs w:val="22"/>
          <w:lang w:val="es-MX" w:eastAsia="es-MX"/>
        </w:rPr>
        <w:t>Notificación del fallo</w:t>
      </w:r>
      <w:r w:rsidR="00AF50FA">
        <w:rPr>
          <w:rFonts w:ascii="Arial" w:hAnsi="Arial" w:cs="Arial"/>
          <w:sz w:val="20"/>
          <w:szCs w:val="22"/>
          <w:lang w:val="es-MX" w:eastAsia="es-MX"/>
        </w:rPr>
        <w:t xml:space="preserve"> respectivo</w:t>
      </w:r>
      <w:r w:rsidR="00C84A5F">
        <w:rPr>
          <w:rFonts w:ascii="Arial" w:hAnsi="Arial" w:cs="Arial"/>
          <w:sz w:val="20"/>
          <w:szCs w:val="22"/>
          <w:lang w:val="es-MX" w:eastAsia="es-MX"/>
        </w:rPr>
        <w:t xml:space="preserve">. </w:t>
      </w:r>
      <w:bookmarkStart w:id="0" w:name="_GoBack"/>
      <w:bookmarkEnd w:id="0"/>
    </w:p>
    <w:p w14:paraId="65D6D231" w14:textId="5CBDD12D" w:rsidR="005A02A6" w:rsidRDefault="005A02A6" w:rsidP="00766991">
      <w:pPr>
        <w:spacing w:line="0" w:lineRule="atLeast"/>
        <w:ind w:right="-25"/>
        <w:jc w:val="both"/>
        <w:rPr>
          <w:rFonts w:ascii="Arial" w:hAnsi="Arial" w:cs="Arial"/>
          <w:sz w:val="20"/>
          <w:szCs w:val="22"/>
          <w:lang w:val="es-MX" w:eastAsia="es-MX"/>
        </w:rPr>
      </w:pPr>
    </w:p>
    <w:p w14:paraId="59ED4161" w14:textId="713B120F" w:rsidR="000C0D3C" w:rsidRDefault="005A02A6" w:rsidP="005A02A6">
      <w:pPr>
        <w:autoSpaceDE w:val="0"/>
        <w:autoSpaceDN w:val="0"/>
        <w:adjustRightInd w:val="0"/>
        <w:jc w:val="both"/>
        <w:rPr>
          <w:rFonts w:ascii="Arial" w:hAnsi="Arial" w:cs="Arial"/>
          <w:sz w:val="20"/>
          <w:szCs w:val="22"/>
          <w:lang w:val="es-MX" w:eastAsia="es-MX"/>
        </w:rPr>
      </w:pPr>
      <w:r>
        <w:rPr>
          <w:rFonts w:ascii="Arial" w:hAnsi="Arial" w:cs="Arial"/>
          <w:sz w:val="20"/>
          <w:szCs w:val="22"/>
          <w:lang w:val="es-MX" w:eastAsia="es-MX"/>
        </w:rPr>
        <w:t>Cabe señalar que conforme a</w:t>
      </w:r>
      <w:r w:rsidR="00F55392">
        <w:rPr>
          <w:rFonts w:ascii="Arial" w:hAnsi="Arial" w:cs="Arial"/>
          <w:sz w:val="20"/>
          <w:szCs w:val="22"/>
          <w:lang w:val="es-MX" w:eastAsia="es-MX"/>
        </w:rPr>
        <w:t>l artículo 46 fracción VI que a</w:t>
      </w:r>
      <w:r>
        <w:rPr>
          <w:rFonts w:ascii="Arial" w:hAnsi="Arial" w:cs="Arial"/>
          <w:sz w:val="20"/>
          <w:szCs w:val="22"/>
          <w:lang w:val="es-MX" w:eastAsia="es-MX"/>
        </w:rPr>
        <w:t xml:space="preserve"> letra dice</w:t>
      </w:r>
      <w:r w:rsidRPr="005A02A6">
        <w:rPr>
          <w:rFonts w:ascii="Arial" w:hAnsi="Arial" w:cs="Arial"/>
          <w:i/>
          <w:sz w:val="20"/>
          <w:szCs w:val="22"/>
          <w:lang w:val="es-MX" w:eastAsia="es-MX"/>
        </w:rPr>
        <w:t xml:space="preserve">: “Si el adjudicado no firmara el contrato por causas imputables a él mismo o se hubiere rescindido el contrato respectivo por causas imputables </w:t>
      </w:r>
      <w:r w:rsidR="00FC5D3E" w:rsidRPr="005A02A6">
        <w:rPr>
          <w:rFonts w:ascii="Arial" w:hAnsi="Arial" w:cs="Arial"/>
          <w:i/>
          <w:sz w:val="20"/>
          <w:szCs w:val="22"/>
          <w:lang w:val="es-MX" w:eastAsia="es-MX"/>
        </w:rPr>
        <w:t>al proveedor</w:t>
      </w:r>
      <w:r w:rsidRPr="005A02A6">
        <w:rPr>
          <w:rFonts w:ascii="Arial" w:hAnsi="Arial" w:cs="Arial"/>
          <w:i/>
          <w:sz w:val="20"/>
          <w:szCs w:val="22"/>
          <w:lang w:val="es-MX" w:eastAsia="es-MX"/>
        </w:rPr>
        <w:t xml:space="preserve">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w:t>
      </w:r>
      <w:r>
        <w:rPr>
          <w:rFonts w:ascii="Arial" w:hAnsi="Arial" w:cs="Arial"/>
          <w:i/>
          <w:sz w:val="20"/>
          <w:szCs w:val="22"/>
          <w:lang w:val="es-MX" w:eastAsia="es-MX"/>
        </w:rPr>
        <w:t xml:space="preserve"> </w:t>
      </w:r>
      <w:r w:rsidR="00C542CA">
        <w:rPr>
          <w:rFonts w:ascii="Arial" w:eastAsiaTheme="minorHAnsi" w:hAnsi="Arial" w:cs="Arial"/>
          <w:i/>
          <w:sz w:val="19"/>
          <w:szCs w:val="19"/>
          <w:lang w:val="es-MX" w:eastAsia="en-US"/>
        </w:rPr>
        <w:t>por ciento (10%)</w:t>
      </w:r>
      <w:r w:rsidRPr="005A02A6">
        <w:rPr>
          <w:rFonts w:ascii="Arial" w:hAnsi="Arial" w:cs="Arial"/>
          <w:i/>
          <w:sz w:val="20"/>
          <w:szCs w:val="22"/>
          <w:lang w:val="es-MX" w:eastAsia="es-MX"/>
        </w:rPr>
        <w:t>”</w:t>
      </w:r>
      <w:r w:rsidRPr="000C0D3C">
        <w:rPr>
          <w:rFonts w:ascii="Arial" w:hAnsi="Arial" w:cs="Arial"/>
          <w:sz w:val="20"/>
          <w:szCs w:val="22"/>
          <w:lang w:val="es-MX" w:eastAsia="es-MX"/>
        </w:rPr>
        <w:t xml:space="preserve">; sin </w:t>
      </w:r>
      <w:r w:rsidR="000C0D3C" w:rsidRPr="000C0D3C">
        <w:rPr>
          <w:rFonts w:ascii="Arial" w:hAnsi="Arial" w:cs="Arial"/>
          <w:sz w:val="20"/>
          <w:szCs w:val="22"/>
          <w:lang w:val="es-MX" w:eastAsia="es-MX"/>
        </w:rPr>
        <w:t>embargo,</w:t>
      </w:r>
      <w:r w:rsidRPr="000C0D3C">
        <w:rPr>
          <w:rFonts w:ascii="Arial" w:hAnsi="Arial" w:cs="Arial"/>
          <w:sz w:val="20"/>
          <w:szCs w:val="22"/>
          <w:lang w:val="es-MX" w:eastAsia="es-MX"/>
        </w:rPr>
        <w:t xml:space="preserve"> conforme al oficio de </w:t>
      </w:r>
      <w:r w:rsidR="000C0D3C" w:rsidRPr="000C0D3C">
        <w:rPr>
          <w:rFonts w:ascii="Arial" w:hAnsi="Arial" w:cs="Arial"/>
          <w:sz w:val="20"/>
          <w:szCs w:val="22"/>
          <w:lang w:val="es-MX" w:eastAsia="es-MX"/>
        </w:rPr>
        <w:t>emisión de Dictamen Técnico Económico</w:t>
      </w:r>
      <w:r w:rsidR="000C0D3C">
        <w:rPr>
          <w:rFonts w:ascii="Arial" w:hAnsi="Arial" w:cs="Arial"/>
          <w:sz w:val="20"/>
          <w:szCs w:val="22"/>
          <w:lang w:val="es-MX" w:eastAsia="es-MX"/>
        </w:rPr>
        <w:t xml:space="preserve"> número UNCA/VRAD/E-296/2023 de fecha 28 de septiembre de 2023, emitido por esta entidad convocante, los proveedores que participaron en la </w:t>
      </w:r>
      <w:r w:rsidR="000C0D3C" w:rsidRPr="00E106EC">
        <w:rPr>
          <w:rFonts w:ascii="Arial" w:hAnsi="Arial" w:cs="Arial"/>
          <w:b/>
          <w:sz w:val="20"/>
          <w:szCs w:val="22"/>
          <w:lang w:val="es-MX" w:eastAsia="es-MX"/>
        </w:rPr>
        <w:t>Invitación Abierta Estatal IAE-SA-UC-0009-08/2023</w:t>
      </w:r>
      <w:r w:rsidR="000C0D3C">
        <w:rPr>
          <w:rFonts w:ascii="Arial" w:hAnsi="Arial" w:cs="Arial"/>
          <w:b/>
          <w:sz w:val="20"/>
          <w:szCs w:val="22"/>
          <w:lang w:val="es-MX" w:eastAsia="es-MX"/>
        </w:rPr>
        <w:t xml:space="preserve"> </w:t>
      </w:r>
      <w:r w:rsidR="000C0D3C" w:rsidRPr="000C0D3C">
        <w:rPr>
          <w:rFonts w:ascii="Arial" w:hAnsi="Arial" w:cs="Arial"/>
          <w:sz w:val="20"/>
          <w:szCs w:val="22"/>
          <w:lang w:val="es-MX" w:eastAsia="es-MX"/>
        </w:rPr>
        <w:t xml:space="preserve">ofertando las partidas 3,4,5 y 6 </w:t>
      </w:r>
      <w:r w:rsidR="000C0D3C">
        <w:rPr>
          <w:rFonts w:ascii="Arial" w:hAnsi="Arial" w:cs="Arial"/>
          <w:sz w:val="20"/>
          <w:szCs w:val="22"/>
          <w:lang w:val="es-MX" w:eastAsia="es-MX"/>
        </w:rPr>
        <w:t xml:space="preserve">requeridas en la presente solicitud, </w:t>
      </w:r>
      <w:r w:rsidR="000C0D3C" w:rsidRPr="00FC5D3E">
        <w:rPr>
          <w:rFonts w:ascii="Arial" w:hAnsi="Arial" w:cs="Arial"/>
          <w:b/>
          <w:sz w:val="20"/>
          <w:szCs w:val="22"/>
          <w:lang w:val="es-MX" w:eastAsia="es-MX"/>
        </w:rPr>
        <w:t>no cumplieron cualitativamente,</w:t>
      </w:r>
      <w:r w:rsidR="000C0D3C">
        <w:rPr>
          <w:rFonts w:ascii="Arial" w:hAnsi="Arial" w:cs="Arial"/>
          <w:sz w:val="20"/>
          <w:szCs w:val="22"/>
          <w:lang w:val="es-MX" w:eastAsia="es-MX"/>
        </w:rPr>
        <w:t xml:space="preserve"> conforme al siguiente cuadro:</w:t>
      </w:r>
    </w:p>
    <w:p w14:paraId="5667F457" w14:textId="77777777" w:rsidR="002F4A77" w:rsidRDefault="002F4A77" w:rsidP="005A02A6">
      <w:pPr>
        <w:autoSpaceDE w:val="0"/>
        <w:autoSpaceDN w:val="0"/>
        <w:adjustRightInd w:val="0"/>
        <w:jc w:val="both"/>
        <w:rPr>
          <w:rFonts w:ascii="Arial" w:hAnsi="Arial" w:cs="Arial"/>
          <w:sz w:val="20"/>
          <w:szCs w:val="22"/>
          <w:lang w:val="es-MX" w:eastAsia="es-MX"/>
        </w:rPr>
      </w:pPr>
    </w:p>
    <w:tbl>
      <w:tblPr>
        <w:tblW w:w="47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0"/>
        <w:gridCol w:w="3825"/>
        <w:gridCol w:w="1210"/>
        <w:gridCol w:w="1840"/>
        <w:gridCol w:w="1883"/>
      </w:tblGrid>
      <w:tr w:rsidR="000C0D3C" w:rsidRPr="00817CA1" w14:paraId="2583A2E8" w14:textId="77777777" w:rsidTr="00817CA1">
        <w:trPr>
          <w:jc w:val="center"/>
        </w:trPr>
        <w:tc>
          <w:tcPr>
            <w:tcW w:w="265" w:type="pct"/>
            <w:shd w:val="clear" w:color="auto" w:fill="D9D9D9" w:themeFill="background1" w:themeFillShade="D9"/>
            <w:vAlign w:val="center"/>
          </w:tcPr>
          <w:p w14:paraId="48E55566" w14:textId="77777777" w:rsidR="000C0D3C" w:rsidRPr="00817CA1" w:rsidRDefault="000C0D3C" w:rsidP="00EC0AD4">
            <w:pPr>
              <w:ind w:left="-142" w:right="54"/>
              <w:jc w:val="center"/>
              <w:rPr>
                <w:rFonts w:ascii="Arial" w:eastAsia="Univia Pro Light" w:hAnsi="Arial" w:cs="Arial"/>
                <w:b/>
                <w:sz w:val="18"/>
                <w:szCs w:val="18"/>
              </w:rPr>
            </w:pPr>
            <w:r w:rsidRPr="00817CA1">
              <w:rPr>
                <w:rFonts w:ascii="Arial" w:eastAsia="Univia Pro Light" w:hAnsi="Arial" w:cs="Arial"/>
                <w:b/>
                <w:sz w:val="18"/>
                <w:szCs w:val="18"/>
              </w:rPr>
              <w:t>#</w:t>
            </w:r>
          </w:p>
        </w:tc>
        <w:tc>
          <w:tcPr>
            <w:tcW w:w="2068" w:type="pct"/>
            <w:shd w:val="clear" w:color="auto" w:fill="D9D9D9" w:themeFill="background1" w:themeFillShade="D9"/>
            <w:vAlign w:val="center"/>
          </w:tcPr>
          <w:p w14:paraId="2109F450" w14:textId="77777777" w:rsidR="000C0D3C" w:rsidRPr="00817CA1" w:rsidRDefault="000C0D3C" w:rsidP="00EC0AD4">
            <w:pPr>
              <w:ind w:left="-142" w:right="54"/>
              <w:jc w:val="center"/>
              <w:rPr>
                <w:rFonts w:ascii="Arial" w:eastAsia="Univia Pro Light" w:hAnsi="Arial" w:cs="Arial"/>
                <w:b/>
                <w:sz w:val="18"/>
                <w:szCs w:val="18"/>
              </w:rPr>
            </w:pPr>
            <w:r w:rsidRPr="00817CA1">
              <w:rPr>
                <w:rFonts w:ascii="Arial" w:eastAsia="Univia Pro Light" w:hAnsi="Arial" w:cs="Arial"/>
                <w:b/>
                <w:sz w:val="18"/>
                <w:szCs w:val="18"/>
              </w:rPr>
              <w:t>Nombre de los licitantes</w:t>
            </w:r>
          </w:p>
        </w:tc>
        <w:tc>
          <w:tcPr>
            <w:tcW w:w="654" w:type="pct"/>
            <w:shd w:val="clear" w:color="auto" w:fill="D9D9D9" w:themeFill="background1" w:themeFillShade="D9"/>
          </w:tcPr>
          <w:p w14:paraId="1C20B0BB" w14:textId="276DC60C" w:rsidR="000C0D3C" w:rsidRPr="00817CA1" w:rsidRDefault="000C0D3C" w:rsidP="000C0D3C">
            <w:pPr>
              <w:ind w:right="54"/>
              <w:jc w:val="center"/>
              <w:rPr>
                <w:rFonts w:ascii="Arial" w:eastAsia="Univia Pro Light" w:hAnsi="Arial" w:cs="Arial"/>
                <w:b/>
                <w:sz w:val="18"/>
                <w:szCs w:val="18"/>
              </w:rPr>
            </w:pPr>
            <w:r w:rsidRPr="00817CA1">
              <w:rPr>
                <w:rFonts w:ascii="Arial" w:eastAsia="Univia Pro Light" w:hAnsi="Arial" w:cs="Arial"/>
                <w:b/>
                <w:sz w:val="18"/>
                <w:szCs w:val="18"/>
              </w:rPr>
              <w:t xml:space="preserve">Partida Ofertada </w:t>
            </w:r>
          </w:p>
        </w:tc>
        <w:tc>
          <w:tcPr>
            <w:tcW w:w="995" w:type="pct"/>
            <w:shd w:val="clear" w:color="auto" w:fill="D9D9D9" w:themeFill="background1" w:themeFillShade="D9"/>
            <w:vAlign w:val="center"/>
          </w:tcPr>
          <w:p w14:paraId="15EE54C4" w14:textId="03CAF4DF" w:rsidR="000C0D3C" w:rsidRPr="00817CA1" w:rsidRDefault="000C0D3C" w:rsidP="00EC0AD4">
            <w:pPr>
              <w:ind w:right="54"/>
              <w:jc w:val="center"/>
              <w:rPr>
                <w:rFonts w:ascii="Arial" w:eastAsia="Univia Pro Light" w:hAnsi="Arial" w:cs="Arial"/>
                <w:b/>
                <w:sz w:val="18"/>
                <w:szCs w:val="18"/>
              </w:rPr>
            </w:pPr>
            <w:r w:rsidRPr="00817CA1">
              <w:rPr>
                <w:rFonts w:ascii="Arial" w:eastAsia="Univia Pro Light" w:hAnsi="Arial" w:cs="Arial"/>
                <w:b/>
                <w:sz w:val="18"/>
                <w:szCs w:val="18"/>
              </w:rPr>
              <w:t>Dictamen Técnico</w:t>
            </w:r>
          </w:p>
        </w:tc>
        <w:tc>
          <w:tcPr>
            <w:tcW w:w="1018" w:type="pct"/>
            <w:shd w:val="clear" w:color="auto" w:fill="D9D9D9" w:themeFill="background1" w:themeFillShade="D9"/>
            <w:vAlign w:val="center"/>
          </w:tcPr>
          <w:p w14:paraId="7336A36A" w14:textId="77777777" w:rsidR="000C0D3C" w:rsidRPr="00817CA1" w:rsidRDefault="000C0D3C" w:rsidP="00EC0AD4">
            <w:pPr>
              <w:ind w:left="-13" w:right="191"/>
              <w:jc w:val="center"/>
              <w:rPr>
                <w:rFonts w:ascii="Arial" w:eastAsia="Univia Pro Light" w:hAnsi="Arial" w:cs="Arial"/>
                <w:b/>
                <w:sz w:val="18"/>
                <w:szCs w:val="18"/>
              </w:rPr>
            </w:pPr>
            <w:r w:rsidRPr="00817CA1">
              <w:rPr>
                <w:rFonts w:ascii="Arial" w:eastAsia="Univia Pro Light" w:hAnsi="Arial" w:cs="Arial"/>
                <w:b/>
                <w:sz w:val="18"/>
                <w:szCs w:val="18"/>
              </w:rPr>
              <w:t>Dictamen Económico</w:t>
            </w:r>
          </w:p>
        </w:tc>
      </w:tr>
      <w:tr w:rsidR="000C0D3C" w:rsidRPr="00817CA1" w14:paraId="14B0F1A3" w14:textId="77777777" w:rsidTr="00817CA1">
        <w:trPr>
          <w:trHeight w:val="349"/>
          <w:jc w:val="center"/>
        </w:trPr>
        <w:tc>
          <w:tcPr>
            <w:tcW w:w="265" w:type="pct"/>
            <w:vAlign w:val="center"/>
          </w:tcPr>
          <w:p w14:paraId="460D5F78" w14:textId="77777777" w:rsidR="000C0D3C" w:rsidRPr="00817CA1" w:rsidRDefault="000C0D3C" w:rsidP="00EC0AD4">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lastRenderedPageBreak/>
              <w:t>1</w:t>
            </w:r>
          </w:p>
        </w:tc>
        <w:tc>
          <w:tcPr>
            <w:tcW w:w="2068" w:type="pct"/>
            <w:vAlign w:val="center"/>
          </w:tcPr>
          <w:p w14:paraId="0A14597C" w14:textId="77777777" w:rsidR="000C0D3C" w:rsidRPr="00817CA1" w:rsidRDefault="000C0D3C" w:rsidP="00EC0AD4">
            <w:pPr>
              <w:tabs>
                <w:tab w:val="left" w:pos="355"/>
              </w:tabs>
              <w:ind w:left="17" w:right="54"/>
              <w:rPr>
                <w:rFonts w:ascii="Arial" w:eastAsia="Univia Pro Light" w:hAnsi="Arial" w:cs="Arial"/>
                <w:sz w:val="18"/>
                <w:szCs w:val="18"/>
              </w:rPr>
            </w:pPr>
            <w:r w:rsidRPr="00817CA1">
              <w:rPr>
                <w:rFonts w:ascii="Arial" w:eastAsia="Univia Pro Light" w:hAnsi="Arial" w:cs="Arial"/>
                <w:sz w:val="18"/>
                <w:szCs w:val="18"/>
              </w:rPr>
              <w:t xml:space="preserve">Aire Acondicionado, Refrigeración y Electricidad </w:t>
            </w:r>
            <w:proofErr w:type="spellStart"/>
            <w:r w:rsidRPr="00817CA1">
              <w:rPr>
                <w:rFonts w:ascii="Arial" w:eastAsia="Univia Pro Light" w:hAnsi="Arial" w:cs="Arial"/>
                <w:sz w:val="18"/>
                <w:szCs w:val="18"/>
              </w:rPr>
              <w:t>Jamaci</w:t>
            </w:r>
            <w:proofErr w:type="spellEnd"/>
            <w:r w:rsidRPr="00817CA1">
              <w:rPr>
                <w:rFonts w:ascii="Arial" w:eastAsia="Univia Pro Light" w:hAnsi="Arial" w:cs="Arial"/>
                <w:sz w:val="18"/>
                <w:szCs w:val="18"/>
              </w:rPr>
              <w:t xml:space="preserve"> S.A de C.V.</w:t>
            </w:r>
          </w:p>
        </w:tc>
        <w:tc>
          <w:tcPr>
            <w:tcW w:w="654" w:type="pct"/>
            <w:vAlign w:val="center"/>
          </w:tcPr>
          <w:p w14:paraId="103681EF" w14:textId="3FF57D1A"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sz w:val="18"/>
                <w:szCs w:val="18"/>
              </w:rPr>
              <w:t>1,</w:t>
            </w:r>
            <w:r w:rsidRPr="00817CA1">
              <w:rPr>
                <w:rFonts w:ascii="Arial" w:eastAsia="Univia Pro Light" w:hAnsi="Arial" w:cs="Arial"/>
                <w:b/>
                <w:sz w:val="18"/>
                <w:szCs w:val="18"/>
              </w:rPr>
              <w:t>3,4,5 y 6</w:t>
            </w:r>
          </w:p>
        </w:tc>
        <w:tc>
          <w:tcPr>
            <w:tcW w:w="995" w:type="pct"/>
            <w:vAlign w:val="center"/>
          </w:tcPr>
          <w:p w14:paraId="49B9AA2F" w14:textId="7C3C8CF4"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 xml:space="preserve">No Solvente en las partidas </w:t>
            </w:r>
            <w:r w:rsidR="007648F9" w:rsidRPr="00817CA1">
              <w:rPr>
                <w:rFonts w:ascii="Arial" w:eastAsia="Univia Pro Light" w:hAnsi="Arial" w:cs="Arial"/>
                <w:b/>
                <w:sz w:val="18"/>
                <w:szCs w:val="18"/>
              </w:rPr>
              <w:t>3, 4,</w:t>
            </w:r>
            <w:r w:rsidRPr="00817CA1">
              <w:rPr>
                <w:rFonts w:ascii="Arial" w:eastAsia="Univia Pro Light" w:hAnsi="Arial" w:cs="Arial"/>
                <w:b/>
                <w:sz w:val="18"/>
                <w:szCs w:val="18"/>
              </w:rPr>
              <w:t xml:space="preserve"> 5</w:t>
            </w:r>
            <w:r w:rsidR="007648F9" w:rsidRPr="00817CA1">
              <w:rPr>
                <w:rFonts w:ascii="Arial" w:eastAsia="Univia Pro Light" w:hAnsi="Arial" w:cs="Arial"/>
                <w:b/>
                <w:sz w:val="18"/>
                <w:szCs w:val="18"/>
              </w:rPr>
              <w:t xml:space="preserve"> y 6</w:t>
            </w:r>
          </w:p>
        </w:tc>
        <w:tc>
          <w:tcPr>
            <w:tcW w:w="1018" w:type="pct"/>
            <w:vAlign w:val="center"/>
          </w:tcPr>
          <w:p w14:paraId="72C2B97E" w14:textId="77777777" w:rsidR="000C0D3C" w:rsidRPr="00817CA1" w:rsidRDefault="000C0D3C" w:rsidP="00EC0AD4">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No Aceptable en la partida 1</w:t>
            </w:r>
          </w:p>
        </w:tc>
      </w:tr>
      <w:tr w:rsidR="000C0D3C" w:rsidRPr="00817CA1" w14:paraId="44CD4BC3" w14:textId="77777777" w:rsidTr="00817CA1">
        <w:trPr>
          <w:trHeight w:val="349"/>
          <w:jc w:val="center"/>
        </w:trPr>
        <w:tc>
          <w:tcPr>
            <w:tcW w:w="265" w:type="pct"/>
            <w:vAlign w:val="center"/>
          </w:tcPr>
          <w:p w14:paraId="6332C032" w14:textId="77777777" w:rsidR="000C0D3C" w:rsidRPr="00817CA1" w:rsidRDefault="000C0D3C" w:rsidP="000C0D3C">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2</w:t>
            </w:r>
          </w:p>
        </w:tc>
        <w:tc>
          <w:tcPr>
            <w:tcW w:w="2068" w:type="pct"/>
            <w:vAlign w:val="center"/>
          </w:tcPr>
          <w:p w14:paraId="2D043108" w14:textId="77777777" w:rsidR="000C0D3C" w:rsidRPr="00817CA1" w:rsidRDefault="000C0D3C" w:rsidP="000C0D3C">
            <w:pPr>
              <w:tabs>
                <w:tab w:val="left" w:pos="355"/>
              </w:tabs>
              <w:ind w:right="54"/>
              <w:rPr>
                <w:rFonts w:ascii="Arial" w:eastAsia="Univia Pro Light" w:hAnsi="Arial" w:cs="Arial"/>
                <w:sz w:val="18"/>
                <w:szCs w:val="18"/>
              </w:rPr>
            </w:pPr>
            <w:proofErr w:type="spellStart"/>
            <w:r w:rsidRPr="00817CA1">
              <w:rPr>
                <w:rFonts w:ascii="Arial" w:eastAsia="Univia Pro Light" w:hAnsi="Arial" w:cs="Arial"/>
                <w:sz w:val="18"/>
                <w:szCs w:val="18"/>
              </w:rPr>
              <w:t>Medquimia</w:t>
            </w:r>
            <w:proofErr w:type="spellEnd"/>
            <w:r w:rsidRPr="00817CA1">
              <w:rPr>
                <w:rFonts w:ascii="Arial" w:eastAsia="Univia Pro Light" w:hAnsi="Arial" w:cs="Arial"/>
                <w:sz w:val="18"/>
                <w:szCs w:val="18"/>
              </w:rPr>
              <w:t xml:space="preserve"> S.A. de C.V.</w:t>
            </w:r>
          </w:p>
        </w:tc>
        <w:tc>
          <w:tcPr>
            <w:tcW w:w="654" w:type="pct"/>
            <w:vAlign w:val="center"/>
          </w:tcPr>
          <w:p w14:paraId="688BFF4B" w14:textId="12DEE808"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sz w:val="18"/>
                <w:szCs w:val="18"/>
              </w:rPr>
              <w:t xml:space="preserve">1,2 y </w:t>
            </w:r>
            <w:r w:rsidRPr="00817CA1">
              <w:rPr>
                <w:rFonts w:ascii="Arial" w:eastAsia="Univia Pro Light" w:hAnsi="Arial" w:cs="Arial"/>
                <w:b/>
                <w:sz w:val="18"/>
                <w:szCs w:val="18"/>
              </w:rPr>
              <w:t>3</w:t>
            </w:r>
          </w:p>
        </w:tc>
        <w:tc>
          <w:tcPr>
            <w:tcW w:w="995" w:type="pct"/>
            <w:vAlign w:val="center"/>
          </w:tcPr>
          <w:p w14:paraId="14D9C4D8" w14:textId="16236FFD" w:rsidR="000C0D3C" w:rsidRPr="00817CA1" w:rsidRDefault="000C0D3C" w:rsidP="000C0D3C">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Solvente</w:t>
            </w:r>
          </w:p>
        </w:tc>
        <w:tc>
          <w:tcPr>
            <w:tcW w:w="1018" w:type="pct"/>
            <w:vAlign w:val="center"/>
          </w:tcPr>
          <w:p w14:paraId="01614A25" w14:textId="77777777" w:rsidR="000C0D3C" w:rsidRPr="00817CA1" w:rsidRDefault="000C0D3C" w:rsidP="000C0D3C">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 xml:space="preserve">No Aceptable en las partidas 1 y </w:t>
            </w:r>
            <w:r w:rsidRPr="00817CA1">
              <w:rPr>
                <w:rFonts w:ascii="Arial" w:eastAsia="Univia Pro Light" w:hAnsi="Arial" w:cs="Arial"/>
                <w:b/>
                <w:sz w:val="18"/>
                <w:szCs w:val="18"/>
              </w:rPr>
              <w:t>3</w:t>
            </w:r>
          </w:p>
        </w:tc>
      </w:tr>
      <w:tr w:rsidR="000C0D3C" w:rsidRPr="00817CA1" w14:paraId="38B0E8D4" w14:textId="77777777" w:rsidTr="00817CA1">
        <w:trPr>
          <w:trHeight w:val="349"/>
          <w:jc w:val="center"/>
        </w:trPr>
        <w:tc>
          <w:tcPr>
            <w:tcW w:w="265" w:type="pct"/>
            <w:vAlign w:val="center"/>
          </w:tcPr>
          <w:p w14:paraId="12E04030" w14:textId="77777777" w:rsidR="000C0D3C" w:rsidRPr="00817CA1" w:rsidRDefault="000C0D3C" w:rsidP="000C0D3C">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3</w:t>
            </w:r>
          </w:p>
        </w:tc>
        <w:tc>
          <w:tcPr>
            <w:tcW w:w="2068" w:type="pct"/>
            <w:vAlign w:val="center"/>
          </w:tcPr>
          <w:p w14:paraId="400B200B" w14:textId="77777777" w:rsidR="000C0D3C" w:rsidRPr="00817CA1" w:rsidRDefault="000C0D3C" w:rsidP="000C0D3C">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Tecnología Médica Interamericana S.A. de C.V.</w:t>
            </w:r>
          </w:p>
        </w:tc>
        <w:tc>
          <w:tcPr>
            <w:tcW w:w="654" w:type="pct"/>
            <w:vAlign w:val="center"/>
          </w:tcPr>
          <w:p w14:paraId="3DC6B1D9" w14:textId="0C7848D6"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sz w:val="18"/>
                <w:szCs w:val="18"/>
              </w:rPr>
              <w:t xml:space="preserve">1,2 y </w:t>
            </w:r>
            <w:r w:rsidRPr="00817CA1">
              <w:rPr>
                <w:rFonts w:ascii="Arial" w:eastAsia="Univia Pro Light" w:hAnsi="Arial" w:cs="Arial"/>
                <w:b/>
                <w:sz w:val="18"/>
                <w:szCs w:val="18"/>
              </w:rPr>
              <w:t>3</w:t>
            </w:r>
          </w:p>
        </w:tc>
        <w:tc>
          <w:tcPr>
            <w:tcW w:w="995" w:type="pct"/>
            <w:vAlign w:val="center"/>
          </w:tcPr>
          <w:p w14:paraId="05D91F17" w14:textId="5DCDDDE6" w:rsidR="000C0D3C" w:rsidRPr="00817CA1" w:rsidRDefault="000C0D3C" w:rsidP="000C0D3C">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No Solvente en las partidas 1 y 2</w:t>
            </w:r>
          </w:p>
        </w:tc>
        <w:tc>
          <w:tcPr>
            <w:tcW w:w="1018" w:type="pct"/>
            <w:vAlign w:val="center"/>
          </w:tcPr>
          <w:p w14:paraId="758A67B4" w14:textId="77777777" w:rsidR="000C0D3C" w:rsidRPr="00817CA1" w:rsidRDefault="000C0D3C" w:rsidP="000C0D3C">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 xml:space="preserve">No Aceptable en las partidas 1 y </w:t>
            </w:r>
            <w:r w:rsidRPr="00817CA1">
              <w:rPr>
                <w:rFonts w:ascii="Arial" w:eastAsia="Univia Pro Light" w:hAnsi="Arial" w:cs="Arial"/>
                <w:b/>
                <w:sz w:val="18"/>
                <w:szCs w:val="18"/>
              </w:rPr>
              <w:t>3</w:t>
            </w:r>
          </w:p>
        </w:tc>
      </w:tr>
      <w:tr w:rsidR="000C0D3C" w:rsidRPr="00817CA1" w14:paraId="708703C5" w14:textId="77777777" w:rsidTr="00817CA1">
        <w:trPr>
          <w:trHeight w:val="349"/>
          <w:jc w:val="center"/>
        </w:trPr>
        <w:tc>
          <w:tcPr>
            <w:tcW w:w="265" w:type="pct"/>
            <w:vAlign w:val="center"/>
          </w:tcPr>
          <w:p w14:paraId="75E0DC96" w14:textId="77777777" w:rsidR="000C0D3C" w:rsidRPr="00817CA1" w:rsidRDefault="000C0D3C" w:rsidP="000C0D3C">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4</w:t>
            </w:r>
          </w:p>
        </w:tc>
        <w:tc>
          <w:tcPr>
            <w:tcW w:w="2068" w:type="pct"/>
            <w:vAlign w:val="center"/>
          </w:tcPr>
          <w:p w14:paraId="4E7B62F3" w14:textId="77777777" w:rsidR="000C0D3C" w:rsidRPr="00817CA1" w:rsidRDefault="000C0D3C" w:rsidP="000C0D3C">
            <w:pPr>
              <w:tabs>
                <w:tab w:val="left" w:pos="355"/>
              </w:tabs>
              <w:ind w:right="54"/>
              <w:rPr>
                <w:rFonts w:ascii="Arial" w:eastAsia="Univia Pro Light" w:hAnsi="Arial" w:cs="Arial"/>
                <w:sz w:val="18"/>
                <w:szCs w:val="18"/>
              </w:rPr>
            </w:pPr>
            <w:proofErr w:type="spellStart"/>
            <w:r w:rsidRPr="00817CA1">
              <w:rPr>
                <w:rFonts w:ascii="Arial" w:eastAsia="Univia Pro Light" w:hAnsi="Arial" w:cs="Arial"/>
                <w:sz w:val="18"/>
                <w:szCs w:val="18"/>
              </w:rPr>
              <w:t>Capracho</w:t>
            </w:r>
            <w:proofErr w:type="spellEnd"/>
            <w:r w:rsidRPr="00817CA1">
              <w:rPr>
                <w:rFonts w:ascii="Arial" w:eastAsia="Univia Pro Light" w:hAnsi="Arial" w:cs="Arial"/>
                <w:sz w:val="18"/>
                <w:szCs w:val="18"/>
              </w:rPr>
              <w:t xml:space="preserve"> Equipos Industriales S.A. de C.V.</w:t>
            </w:r>
          </w:p>
        </w:tc>
        <w:tc>
          <w:tcPr>
            <w:tcW w:w="654" w:type="pct"/>
            <w:vAlign w:val="center"/>
          </w:tcPr>
          <w:p w14:paraId="7532CEF3" w14:textId="7D8EF7FC"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sz w:val="18"/>
                <w:szCs w:val="18"/>
              </w:rPr>
              <w:t>1 y</w:t>
            </w:r>
            <w:r w:rsidRPr="00817CA1">
              <w:rPr>
                <w:rFonts w:ascii="Arial" w:eastAsia="Univia Pro Light" w:hAnsi="Arial" w:cs="Arial"/>
                <w:b/>
                <w:sz w:val="18"/>
                <w:szCs w:val="18"/>
              </w:rPr>
              <w:t xml:space="preserve"> 3</w:t>
            </w:r>
          </w:p>
        </w:tc>
        <w:tc>
          <w:tcPr>
            <w:tcW w:w="995" w:type="pct"/>
            <w:vAlign w:val="center"/>
          </w:tcPr>
          <w:p w14:paraId="6E8FD2E0" w14:textId="0AA19DE3" w:rsidR="000C0D3C" w:rsidRPr="00817CA1" w:rsidRDefault="000C0D3C" w:rsidP="000C0D3C">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Solvente</w:t>
            </w:r>
          </w:p>
        </w:tc>
        <w:tc>
          <w:tcPr>
            <w:tcW w:w="1018" w:type="pct"/>
            <w:vAlign w:val="center"/>
          </w:tcPr>
          <w:p w14:paraId="1E99C9F9" w14:textId="77777777" w:rsidR="000C0D3C" w:rsidRPr="00817CA1" w:rsidRDefault="000C0D3C" w:rsidP="000C0D3C">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No Aceptable en la partida</w:t>
            </w:r>
            <w:r w:rsidRPr="00817CA1">
              <w:rPr>
                <w:rFonts w:ascii="Arial" w:eastAsia="Univia Pro Light" w:hAnsi="Arial" w:cs="Arial"/>
                <w:b/>
                <w:sz w:val="18"/>
                <w:szCs w:val="18"/>
              </w:rPr>
              <w:t xml:space="preserve"> 3</w:t>
            </w:r>
          </w:p>
        </w:tc>
      </w:tr>
      <w:tr w:rsidR="000C0D3C" w:rsidRPr="00817CA1" w14:paraId="5D6BB3BA" w14:textId="77777777" w:rsidTr="00817CA1">
        <w:trPr>
          <w:trHeight w:val="349"/>
          <w:jc w:val="center"/>
        </w:trPr>
        <w:tc>
          <w:tcPr>
            <w:tcW w:w="265" w:type="pct"/>
            <w:vAlign w:val="center"/>
          </w:tcPr>
          <w:p w14:paraId="699BFB33" w14:textId="77777777" w:rsidR="000C0D3C" w:rsidRPr="00817CA1" w:rsidRDefault="000C0D3C" w:rsidP="00EC0AD4">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6</w:t>
            </w:r>
          </w:p>
        </w:tc>
        <w:tc>
          <w:tcPr>
            <w:tcW w:w="2068" w:type="pct"/>
            <w:vAlign w:val="center"/>
          </w:tcPr>
          <w:p w14:paraId="2000C220" w14:textId="77777777"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Mayoristas en Cómputo de Antequera S.A. de C.V.</w:t>
            </w:r>
          </w:p>
        </w:tc>
        <w:tc>
          <w:tcPr>
            <w:tcW w:w="654" w:type="pct"/>
            <w:vAlign w:val="center"/>
          </w:tcPr>
          <w:p w14:paraId="095E50BB" w14:textId="71011BA4"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b/>
                <w:sz w:val="18"/>
                <w:szCs w:val="18"/>
              </w:rPr>
              <w:t>5,6</w:t>
            </w:r>
            <w:r w:rsidRPr="00817CA1">
              <w:rPr>
                <w:rFonts w:ascii="Arial" w:eastAsia="Univia Pro Light" w:hAnsi="Arial" w:cs="Arial"/>
                <w:sz w:val="18"/>
                <w:szCs w:val="18"/>
              </w:rPr>
              <w:t>,7 y 8</w:t>
            </w:r>
          </w:p>
        </w:tc>
        <w:tc>
          <w:tcPr>
            <w:tcW w:w="995" w:type="pct"/>
            <w:vAlign w:val="center"/>
          </w:tcPr>
          <w:p w14:paraId="5823FCFF" w14:textId="393A370A"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 xml:space="preserve">No Solvente en las partidas </w:t>
            </w:r>
            <w:r w:rsidRPr="00817CA1">
              <w:rPr>
                <w:rFonts w:ascii="Arial" w:eastAsia="Univia Pro Light" w:hAnsi="Arial" w:cs="Arial"/>
                <w:b/>
                <w:sz w:val="18"/>
                <w:szCs w:val="18"/>
              </w:rPr>
              <w:t>5 y 6</w:t>
            </w:r>
          </w:p>
        </w:tc>
        <w:tc>
          <w:tcPr>
            <w:tcW w:w="1018" w:type="pct"/>
            <w:vAlign w:val="center"/>
          </w:tcPr>
          <w:p w14:paraId="77ADA564" w14:textId="77777777" w:rsidR="000C0D3C" w:rsidRPr="00817CA1" w:rsidRDefault="000C0D3C" w:rsidP="00EC0AD4">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Aceptable</w:t>
            </w:r>
          </w:p>
        </w:tc>
      </w:tr>
      <w:tr w:rsidR="000C0D3C" w:rsidRPr="00817CA1" w14:paraId="238EE4FD" w14:textId="77777777" w:rsidTr="00817CA1">
        <w:trPr>
          <w:trHeight w:val="349"/>
          <w:jc w:val="center"/>
        </w:trPr>
        <w:tc>
          <w:tcPr>
            <w:tcW w:w="265" w:type="pct"/>
            <w:vAlign w:val="center"/>
          </w:tcPr>
          <w:p w14:paraId="6E5E8625" w14:textId="77777777" w:rsidR="000C0D3C" w:rsidRPr="00817CA1" w:rsidRDefault="000C0D3C" w:rsidP="00EC0AD4">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8</w:t>
            </w:r>
          </w:p>
        </w:tc>
        <w:tc>
          <w:tcPr>
            <w:tcW w:w="2068" w:type="pct"/>
            <w:vAlign w:val="center"/>
          </w:tcPr>
          <w:p w14:paraId="3B4D3B25" w14:textId="77777777" w:rsidR="000C0D3C" w:rsidRPr="00817CA1" w:rsidRDefault="000C0D3C" w:rsidP="00EC0AD4">
            <w:pPr>
              <w:tabs>
                <w:tab w:val="left" w:pos="355"/>
              </w:tabs>
              <w:ind w:right="54"/>
              <w:rPr>
                <w:rFonts w:ascii="Arial" w:eastAsia="Univia Pro Light" w:hAnsi="Arial" w:cs="Arial"/>
                <w:sz w:val="18"/>
                <w:szCs w:val="18"/>
              </w:rPr>
            </w:pPr>
            <w:proofErr w:type="spellStart"/>
            <w:r w:rsidRPr="00817CA1">
              <w:rPr>
                <w:rFonts w:ascii="Arial" w:eastAsia="Univia Pro Light" w:hAnsi="Arial" w:cs="Arial"/>
                <w:sz w:val="18"/>
                <w:szCs w:val="18"/>
              </w:rPr>
              <w:t>Negosoft</w:t>
            </w:r>
            <w:proofErr w:type="spellEnd"/>
            <w:r w:rsidRPr="00817CA1">
              <w:rPr>
                <w:rFonts w:ascii="Arial" w:eastAsia="Univia Pro Light" w:hAnsi="Arial" w:cs="Arial"/>
                <w:sz w:val="18"/>
                <w:szCs w:val="18"/>
              </w:rPr>
              <w:t xml:space="preserve"> S.A. de C.V.</w:t>
            </w:r>
          </w:p>
        </w:tc>
        <w:tc>
          <w:tcPr>
            <w:tcW w:w="654" w:type="pct"/>
            <w:vAlign w:val="center"/>
          </w:tcPr>
          <w:p w14:paraId="2EC88659" w14:textId="02CDA299"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sz w:val="18"/>
                <w:szCs w:val="18"/>
              </w:rPr>
              <w:t>1,</w:t>
            </w:r>
            <w:r w:rsidRPr="00817CA1">
              <w:rPr>
                <w:rFonts w:ascii="Arial" w:eastAsia="Univia Pro Light" w:hAnsi="Arial" w:cs="Arial"/>
                <w:b/>
                <w:sz w:val="18"/>
                <w:szCs w:val="18"/>
              </w:rPr>
              <w:t>3</w:t>
            </w:r>
            <w:r w:rsidRPr="00817CA1">
              <w:rPr>
                <w:rFonts w:ascii="Arial" w:eastAsia="Univia Pro Light" w:hAnsi="Arial" w:cs="Arial"/>
                <w:sz w:val="18"/>
                <w:szCs w:val="18"/>
              </w:rPr>
              <w:t>,</w:t>
            </w:r>
            <w:r w:rsidRPr="00817CA1">
              <w:rPr>
                <w:rFonts w:ascii="Arial" w:eastAsia="Univia Pro Light" w:hAnsi="Arial" w:cs="Arial"/>
                <w:b/>
                <w:sz w:val="18"/>
                <w:szCs w:val="18"/>
              </w:rPr>
              <w:t>6</w:t>
            </w:r>
            <w:r w:rsidRPr="00817CA1">
              <w:rPr>
                <w:rFonts w:ascii="Arial" w:eastAsia="Univia Pro Light" w:hAnsi="Arial" w:cs="Arial"/>
                <w:sz w:val="18"/>
                <w:szCs w:val="18"/>
              </w:rPr>
              <w:t xml:space="preserve"> y 7</w:t>
            </w:r>
          </w:p>
        </w:tc>
        <w:tc>
          <w:tcPr>
            <w:tcW w:w="995" w:type="pct"/>
            <w:vAlign w:val="center"/>
          </w:tcPr>
          <w:p w14:paraId="1CE2BE1B" w14:textId="024BBE19"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 xml:space="preserve">No Solvente en las partidas 1 y </w:t>
            </w:r>
            <w:r w:rsidRPr="00817CA1">
              <w:rPr>
                <w:rFonts w:ascii="Arial" w:eastAsia="Univia Pro Light" w:hAnsi="Arial" w:cs="Arial"/>
                <w:b/>
                <w:sz w:val="18"/>
                <w:szCs w:val="18"/>
              </w:rPr>
              <w:t>6</w:t>
            </w:r>
          </w:p>
        </w:tc>
        <w:tc>
          <w:tcPr>
            <w:tcW w:w="1018" w:type="pct"/>
            <w:vAlign w:val="center"/>
          </w:tcPr>
          <w:p w14:paraId="41A3C61C" w14:textId="77777777" w:rsidR="000C0D3C" w:rsidRPr="00817CA1" w:rsidRDefault="000C0D3C" w:rsidP="00EC0AD4">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 xml:space="preserve">No Aceptable en la partida </w:t>
            </w:r>
            <w:r w:rsidRPr="00817CA1">
              <w:rPr>
                <w:rFonts w:ascii="Arial" w:eastAsia="Univia Pro Light" w:hAnsi="Arial" w:cs="Arial"/>
                <w:b/>
                <w:sz w:val="18"/>
                <w:szCs w:val="18"/>
              </w:rPr>
              <w:t>3</w:t>
            </w:r>
          </w:p>
        </w:tc>
      </w:tr>
      <w:tr w:rsidR="000C0D3C" w:rsidRPr="00817CA1" w14:paraId="416A3E60" w14:textId="77777777" w:rsidTr="00817CA1">
        <w:trPr>
          <w:trHeight w:val="349"/>
          <w:jc w:val="center"/>
        </w:trPr>
        <w:tc>
          <w:tcPr>
            <w:tcW w:w="265" w:type="pct"/>
            <w:vAlign w:val="center"/>
          </w:tcPr>
          <w:p w14:paraId="348DCA8D" w14:textId="77777777" w:rsidR="000C0D3C" w:rsidRPr="00817CA1" w:rsidRDefault="000C0D3C" w:rsidP="00EC0AD4">
            <w:pPr>
              <w:tabs>
                <w:tab w:val="left" w:pos="284"/>
              </w:tabs>
              <w:ind w:left="-142" w:right="54"/>
              <w:jc w:val="center"/>
              <w:rPr>
                <w:rFonts w:ascii="Arial" w:eastAsia="Univia Pro Light" w:hAnsi="Arial" w:cs="Arial"/>
                <w:sz w:val="18"/>
                <w:szCs w:val="18"/>
              </w:rPr>
            </w:pPr>
            <w:r w:rsidRPr="00817CA1">
              <w:rPr>
                <w:rFonts w:ascii="Arial" w:eastAsia="Univia Pro Light" w:hAnsi="Arial" w:cs="Arial"/>
                <w:sz w:val="18"/>
                <w:szCs w:val="18"/>
              </w:rPr>
              <w:t>10</w:t>
            </w:r>
          </w:p>
        </w:tc>
        <w:tc>
          <w:tcPr>
            <w:tcW w:w="2068" w:type="pct"/>
            <w:vAlign w:val="center"/>
          </w:tcPr>
          <w:p w14:paraId="3EA053D9" w14:textId="77777777"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 xml:space="preserve">Sistemas </w:t>
            </w:r>
            <w:proofErr w:type="spellStart"/>
            <w:r w:rsidRPr="00817CA1">
              <w:rPr>
                <w:rFonts w:ascii="Arial" w:eastAsia="Univia Pro Light" w:hAnsi="Arial" w:cs="Arial"/>
                <w:sz w:val="18"/>
                <w:szCs w:val="18"/>
              </w:rPr>
              <w:t>Contino</w:t>
            </w:r>
            <w:proofErr w:type="spellEnd"/>
            <w:r w:rsidRPr="00817CA1">
              <w:rPr>
                <w:rFonts w:ascii="Arial" w:eastAsia="Univia Pro Light" w:hAnsi="Arial" w:cs="Arial"/>
                <w:sz w:val="18"/>
                <w:szCs w:val="18"/>
              </w:rPr>
              <w:t xml:space="preserve"> Oaxaca S.A. de C.V.</w:t>
            </w:r>
          </w:p>
        </w:tc>
        <w:tc>
          <w:tcPr>
            <w:tcW w:w="654" w:type="pct"/>
            <w:vAlign w:val="center"/>
          </w:tcPr>
          <w:p w14:paraId="1289FB0A" w14:textId="7CC3EE0C" w:rsidR="000C0D3C" w:rsidRPr="00817CA1" w:rsidRDefault="000C0D3C" w:rsidP="000C0D3C">
            <w:pPr>
              <w:tabs>
                <w:tab w:val="left" w:pos="355"/>
              </w:tabs>
              <w:ind w:right="54"/>
              <w:jc w:val="center"/>
              <w:rPr>
                <w:rFonts w:ascii="Arial" w:eastAsia="Univia Pro Light" w:hAnsi="Arial" w:cs="Arial"/>
                <w:sz w:val="18"/>
                <w:szCs w:val="18"/>
              </w:rPr>
            </w:pPr>
            <w:r w:rsidRPr="00817CA1">
              <w:rPr>
                <w:rFonts w:ascii="Arial" w:eastAsia="Univia Pro Light" w:hAnsi="Arial" w:cs="Arial"/>
                <w:b/>
                <w:sz w:val="18"/>
                <w:szCs w:val="18"/>
              </w:rPr>
              <w:t>4,5</w:t>
            </w:r>
            <w:r w:rsidRPr="00817CA1">
              <w:rPr>
                <w:rFonts w:ascii="Arial" w:eastAsia="Univia Pro Light" w:hAnsi="Arial" w:cs="Arial"/>
                <w:sz w:val="18"/>
                <w:szCs w:val="18"/>
              </w:rPr>
              <w:t>,6 y 7</w:t>
            </w:r>
          </w:p>
        </w:tc>
        <w:tc>
          <w:tcPr>
            <w:tcW w:w="995" w:type="pct"/>
            <w:vAlign w:val="center"/>
          </w:tcPr>
          <w:p w14:paraId="27BD7065" w14:textId="5DD6BFD3" w:rsidR="000C0D3C" w:rsidRPr="00817CA1" w:rsidRDefault="000C0D3C" w:rsidP="00EC0AD4">
            <w:pPr>
              <w:tabs>
                <w:tab w:val="left" w:pos="355"/>
              </w:tabs>
              <w:ind w:right="54"/>
              <w:rPr>
                <w:rFonts w:ascii="Arial" w:eastAsia="Univia Pro Light" w:hAnsi="Arial" w:cs="Arial"/>
                <w:sz w:val="18"/>
                <w:szCs w:val="18"/>
              </w:rPr>
            </w:pPr>
            <w:r w:rsidRPr="00817CA1">
              <w:rPr>
                <w:rFonts w:ascii="Arial" w:eastAsia="Univia Pro Light" w:hAnsi="Arial" w:cs="Arial"/>
                <w:sz w:val="18"/>
                <w:szCs w:val="18"/>
              </w:rPr>
              <w:t xml:space="preserve">No Solvente en las partidas </w:t>
            </w:r>
            <w:r w:rsidRPr="00817CA1">
              <w:rPr>
                <w:rFonts w:ascii="Arial" w:eastAsia="Univia Pro Light" w:hAnsi="Arial" w:cs="Arial"/>
                <w:b/>
                <w:sz w:val="18"/>
                <w:szCs w:val="18"/>
              </w:rPr>
              <w:t>4, 5 y 6</w:t>
            </w:r>
          </w:p>
        </w:tc>
        <w:tc>
          <w:tcPr>
            <w:tcW w:w="1018" w:type="pct"/>
            <w:vAlign w:val="center"/>
          </w:tcPr>
          <w:p w14:paraId="298D8DE3" w14:textId="77777777" w:rsidR="000C0D3C" w:rsidRPr="00817CA1" w:rsidRDefault="000C0D3C" w:rsidP="00EC0AD4">
            <w:pPr>
              <w:tabs>
                <w:tab w:val="left" w:pos="355"/>
              </w:tabs>
              <w:ind w:left="-15" w:right="-74"/>
              <w:rPr>
                <w:rFonts w:ascii="Arial" w:eastAsia="Univia Pro Light" w:hAnsi="Arial" w:cs="Arial"/>
                <w:sz w:val="18"/>
                <w:szCs w:val="18"/>
              </w:rPr>
            </w:pPr>
            <w:r w:rsidRPr="00817CA1">
              <w:rPr>
                <w:rFonts w:ascii="Arial" w:eastAsia="Univia Pro Light" w:hAnsi="Arial" w:cs="Arial"/>
                <w:sz w:val="18"/>
                <w:szCs w:val="18"/>
              </w:rPr>
              <w:t>Aceptable</w:t>
            </w:r>
          </w:p>
        </w:tc>
      </w:tr>
    </w:tbl>
    <w:p w14:paraId="7C259580" w14:textId="77777777" w:rsidR="000C0D3C" w:rsidRDefault="000C0D3C" w:rsidP="005A02A6">
      <w:pPr>
        <w:autoSpaceDE w:val="0"/>
        <w:autoSpaceDN w:val="0"/>
        <w:adjustRightInd w:val="0"/>
        <w:jc w:val="both"/>
        <w:rPr>
          <w:rFonts w:ascii="Arial" w:hAnsi="Arial" w:cs="Arial"/>
          <w:sz w:val="20"/>
          <w:szCs w:val="22"/>
          <w:lang w:val="es-MX" w:eastAsia="es-MX"/>
        </w:rPr>
      </w:pPr>
    </w:p>
    <w:p w14:paraId="499A9E2F" w14:textId="4C68C345" w:rsidR="000C0D3C" w:rsidRDefault="00C542CA" w:rsidP="005A02A6">
      <w:pPr>
        <w:autoSpaceDE w:val="0"/>
        <w:autoSpaceDN w:val="0"/>
        <w:adjustRightInd w:val="0"/>
        <w:jc w:val="both"/>
        <w:rPr>
          <w:rFonts w:ascii="Arial" w:hAnsi="Arial" w:cs="Arial"/>
          <w:sz w:val="20"/>
          <w:szCs w:val="22"/>
          <w:lang w:val="es-MX" w:eastAsia="es-MX"/>
        </w:rPr>
      </w:pPr>
      <w:r>
        <w:rPr>
          <w:rFonts w:ascii="Arial" w:hAnsi="Arial" w:cs="Arial"/>
          <w:sz w:val="20"/>
          <w:szCs w:val="22"/>
          <w:lang w:val="es-MX" w:eastAsia="es-MX"/>
        </w:rPr>
        <w:t>Bajo las circunstancias antes descritas y toda vez que</w:t>
      </w:r>
      <w:r w:rsidR="00B218CB">
        <w:rPr>
          <w:rFonts w:ascii="Arial" w:hAnsi="Arial" w:cs="Arial"/>
          <w:sz w:val="20"/>
          <w:szCs w:val="22"/>
          <w:lang w:val="es-MX" w:eastAsia="es-MX"/>
        </w:rPr>
        <w:t xml:space="preserve"> mediante oficio</w:t>
      </w:r>
      <w:r>
        <w:rPr>
          <w:rFonts w:ascii="Arial" w:hAnsi="Arial" w:cs="Arial"/>
          <w:sz w:val="20"/>
          <w:szCs w:val="22"/>
          <w:lang w:val="es-MX" w:eastAsia="es-MX"/>
        </w:rPr>
        <w:t xml:space="preserve"> </w:t>
      </w:r>
      <w:r w:rsidR="00B218CB">
        <w:rPr>
          <w:rFonts w:ascii="Arial" w:hAnsi="Arial" w:cs="Arial"/>
          <w:sz w:val="20"/>
          <w:szCs w:val="22"/>
          <w:lang w:val="es-MX" w:eastAsia="es-MX"/>
        </w:rPr>
        <w:t xml:space="preserve">CA/CAEASEO/ST/0002/01/2023 de fecha 14 de junio de 2023 </w:t>
      </w:r>
      <w:r>
        <w:rPr>
          <w:rFonts w:ascii="Arial" w:hAnsi="Arial" w:cs="Arial"/>
          <w:sz w:val="20"/>
          <w:szCs w:val="22"/>
          <w:lang w:val="es-MX" w:eastAsia="es-MX"/>
        </w:rPr>
        <w:t xml:space="preserve">el </w:t>
      </w:r>
      <w:r w:rsidR="00B218CB" w:rsidRPr="00423C60">
        <w:rPr>
          <w:rFonts w:ascii="Arial" w:hAnsi="Arial" w:cs="Arial"/>
          <w:sz w:val="20"/>
          <w:szCs w:val="22"/>
          <w:lang w:val="es-MX" w:eastAsia="es-MX"/>
        </w:rPr>
        <w:t>Comité de Adquisiciones, Enajenaciones, Arrendamientos y Servicios del Estado de Oaxaca</w:t>
      </w:r>
      <w:r w:rsidR="00B218CB">
        <w:rPr>
          <w:rFonts w:ascii="Arial" w:hAnsi="Arial" w:cs="Arial"/>
          <w:sz w:val="20"/>
          <w:szCs w:val="22"/>
          <w:lang w:val="es-MX" w:eastAsia="es-MX"/>
        </w:rPr>
        <w:t xml:space="preserve"> informó que el pasado 14 de noviembre del presente era la fecha límite para recepción de solicitudes para ser sometidas en la última sesión ordinaria a realizarse el próximo 19 de diciembre del presente</w:t>
      </w:r>
      <w:r w:rsidR="00B94480">
        <w:rPr>
          <w:rFonts w:ascii="Arial" w:hAnsi="Arial" w:cs="Arial"/>
          <w:sz w:val="20"/>
          <w:szCs w:val="22"/>
          <w:lang w:val="es-MX" w:eastAsia="es-MX"/>
        </w:rPr>
        <w:t xml:space="preserve">, no es posible realizar el proceso licitatorio conforme a los tiempos establecidos en la Ley; </w:t>
      </w:r>
      <w:r w:rsidR="006A051A">
        <w:rPr>
          <w:rFonts w:ascii="Arial" w:hAnsi="Arial" w:cs="Arial"/>
          <w:sz w:val="20"/>
          <w:szCs w:val="22"/>
          <w:lang w:val="es-MX" w:eastAsia="es-MX"/>
        </w:rPr>
        <w:t>y estando  ubicado en el supuesto de excepción previsto</w:t>
      </w:r>
      <w:r w:rsidR="00B218CB">
        <w:rPr>
          <w:rFonts w:ascii="Arial" w:hAnsi="Arial" w:cs="Arial"/>
          <w:sz w:val="20"/>
          <w:szCs w:val="22"/>
          <w:lang w:val="es-MX" w:eastAsia="es-MX"/>
        </w:rPr>
        <w:t xml:space="preserve"> en la </w:t>
      </w:r>
      <w:r w:rsidR="00B218CB" w:rsidRPr="00FC5D3E">
        <w:rPr>
          <w:rFonts w:ascii="Arial" w:hAnsi="Arial" w:cs="Arial"/>
          <w:b/>
          <w:sz w:val="20"/>
          <w:szCs w:val="22"/>
          <w:lang w:val="es-MX" w:eastAsia="es-MX"/>
        </w:rPr>
        <w:t>fracción VI del artículo 46 de la Ley</w:t>
      </w:r>
      <w:r w:rsidR="00B218CB">
        <w:rPr>
          <w:rFonts w:ascii="Arial" w:hAnsi="Arial" w:cs="Arial"/>
          <w:sz w:val="20"/>
          <w:szCs w:val="22"/>
          <w:lang w:val="es-MX" w:eastAsia="es-MX"/>
        </w:rPr>
        <w:t>, solicito a usted</w:t>
      </w:r>
      <w:r w:rsidR="00FC5D3E">
        <w:rPr>
          <w:rFonts w:ascii="Arial" w:hAnsi="Arial" w:cs="Arial"/>
          <w:sz w:val="20"/>
          <w:szCs w:val="22"/>
          <w:lang w:val="es-MX" w:eastAsia="es-MX"/>
        </w:rPr>
        <w:t xml:space="preserve"> someter a dictaminación del Comité la autorización para </w:t>
      </w:r>
      <w:r w:rsidR="00B94480">
        <w:rPr>
          <w:rFonts w:ascii="Arial" w:hAnsi="Arial" w:cs="Arial"/>
          <w:sz w:val="20"/>
          <w:szCs w:val="22"/>
          <w:lang w:val="es-MX" w:eastAsia="es-MX"/>
        </w:rPr>
        <w:t xml:space="preserve">llevar a cabo el procedimiento de </w:t>
      </w:r>
      <w:r w:rsidR="00B218CB">
        <w:rPr>
          <w:rFonts w:ascii="Arial" w:hAnsi="Arial" w:cs="Arial"/>
          <w:sz w:val="20"/>
          <w:szCs w:val="22"/>
          <w:lang w:val="es-MX" w:eastAsia="es-MX"/>
        </w:rPr>
        <w:t xml:space="preserve">contratación </w:t>
      </w:r>
      <w:r w:rsidR="00B94480">
        <w:rPr>
          <w:rFonts w:ascii="Arial" w:hAnsi="Arial" w:cs="Arial"/>
          <w:sz w:val="20"/>
          <w:szCs w:val="22"/>
          <w:lang w:val="es-MX" w:eastAsia="es-MX"/>
        </w:rPr>
        <w:t xml:space="preserve">bajo la modalidad de </w:t>
      </w:r>
      <w:r w:rsidR="00B94480" w:rsidRPr="00FC5D3E">
        <w:rPr>
          <w:rFonts w:ascii="Arial" w:hAnsi="Arial" w:cs="Arial"/>
          <w:b/>
          <w:sz w:val="20"/>
          <w:szCs w:val="22"/>
          <w:lang w:val="es-MX" w:eastAsia="es-MX"/>
        </w:rPr>
        <w:t>ADJUDICACIÓN DIRECTA POR EXCEPCIÓN</w:t>
      </w:r>
      <w:r w:rsidR="00B94480">
        <w:rPr>
          <w:rFonts w:ascii="Arial" w:hAnsi="Arial" w:cs="Arial"/>
          <w:sz w:val="20"/>
          <w:szCs w:val="22"/>
          <w:lang w:val="es-MX" w:eastAsia="es-MX"/>
        </w:rPr>
        <w:t xml:space="preserve"> conforme a lo establecido en la fracción II del artíc</w:t>
      </w:r>
      <w:r w:rsidR="00FC5D3E">
        <w:rPr>
          <w:rFonts w:ascii="Arial" w:hAnsi="Arial" w:cs="Arial"/>
          <w:sz w:val="20"/>
          <w:szCs w:val="22"/>
          <w:lang w:val="es-MX" w:eastAsia="es-MX"/>
        </w:rPr>
        <w:t>ulo 25 del Reglamento de la Ley estando debidamente justificada en razón de lo anteriormente expuesto.</w:t>
      </w:r>
    </w:p>
    <w:p w14:paraId="2E91A613" w14:textId="77777777" w:rsidR="0009569F" w:rsidRDefault="0009569F" w:rsidP="00766991">
      <w:pPr>
        <w:spacing w:line="0" w:lineRule="atLeast"/>
        <w:ind w:right="-25"/>
        <w:jc w:val="both"/>
        <w:rPr>
          <w:rFonts w:ascii="Arial" w:hAnsi="Arial" w:cs="Arial"/>
          <w:sz w:val="20"/>
          <w:szCs w:val="22"/>
          <w:lang w:val="es-MX" w:eastAsia="es-MX"/>
        </w:rPr>
      </w:pPr>
    </w:p>
    <w:p w14:paraId="62A4799D" w14:textId="359EFC16" w:rsidR="00766991" w:rsidRPr="00423C60" w:rsidRDefault="00B93502" w:rsidP="00766991">
      <w:pPr>
        <w:spacing w:line="0" w:lineRule="atLeast"/>
        <w:ind w:right="-25"/>
        <w:jc w:val="both"/>
        <w:rPr>
          <w:rFonts w:ascii="Arial" w:hAnsi="Arial" w:cs="Arial"/>
          <w:sz w:val="20"/>
          <w:szCs w:val="22"/>
          <w:lang w:val="es-MX" w:eastAsia="es-MX"/>
        </w:rPr>
      </w:pPr>
      <w:r>
        <w:rPr>
          <w:rFonts w:ascii="Arial" w:hAnsi="Arial" w:cs="Arial"/>
          <w:sz w:val="20"/>
          <w:szCs w:val="22"/>
          <w:lang w:val="es-MX" w:eastAsia="es-MX"/>
        </w:rPr>
        <w:t>La adquisición pretendida surge toda vez que aún persiste la necesidad de contar con los equipos de laboratorio y equipos de aire acondicionado necesarios para cubrir</w:t>
      </w:r>
      <w:r w:rsidR="00E106EC">
        <w:rPr>
          <w:rFonts w:ascii="Arial" w:hAnsi="Arial" w:cs="Arial"/>
          <w:sz w:val="20"/>
          <w:szCs w:val="22"/>
          <w:lang w:val="es-MX" w:eastAsia="es-MX"/>
        </w:rPr>
        <w:t xml:space="preserve"> </w:t>
      </w:r>
      <w:r w:rsidR="00E8297E" w:rsidRPr="00423C60">
        <w:rPr>
          <w:rFonts w:ascii="Arial" w:hAnsi="Arial" w:cs="Arial"/>
          <w:sz w:val="20"/>
          <w:szCs w:val="22"/>
          <w:lang w:val="es-MX" w:eastAsia="es-MX"/>
        </w:rPr>
        <w:t>los requerimientos</w:t>
      </w:r>
      <w:r w:rsidR="00E106EC">
        <w:rPr>
          <w:rFonts w:ascii="Arial" w:hAnsi="Arial" w:cs="Arial"/>
          <w:sz w:val="20"/>
          <w:szCs w:val="22"/>
          <w:lang w:val="es-MX" w:eastAsia="es-MX"/>
        </w:rPr>
        <w:t xml:space="preserve"> </w:t>
      </w:r>
      <w:r w:rsidR="00A44B64" w:rsidRPr="00423C60">
        <w:rPr>
          <w:rFonts w:ascii="Arial" w:hAnsi="Arial" w:cs="Arial"/>
          <w:sz w:val="20"/>
          <w:szCs w:val="22"/>
          <w:lang w:val="es-MX" w:eastAsia="es-MX"/>
        </w:rPr>
        <w:t>de la Universidad de la Cañada,</w:t>
      </w:r>
      <w:r w:rsidR="00E106EC">
        <w:rPr>
          <w:rFonts w:ascii="Arial" w:hAnsi="Arial" w:cs="Arial"/>
          <w:sz w:val="20"/>
          <w:szCs w:val="22"/>
          <w:lang w:val="es-MX" w:eastAsia="es-MX"/>
        </w:rPr>
        <w:t xml:space="preserve"> </w:t>
      </w:r>
      <w:r w:rsidR="00A44B64" w:rsidRPr="00423C60">
        <w:rPr>
          <w:rFonts w:ascii="Arial" w:hAnsi="Arial" w:cs="Arial"/>
          <w:sz w:val="20"/>
          <w:szCs w:val="22"/>
          <w:lang w:val="es-MX" w:eastAsia="es-MX"/>
        </w:rPr>
        <w:t xml:space="preserve">conforme a lo solicitado mediante </w:t>
      </w:r>
      <w:r w:rsidR="00112743" w:rsidRPr="00423C60">
        <w:rPr>
          <w:rFonts w:ascii="Arial" w:hAnsi="Arial" w:cs="Arial"/>
          <w:sz w:val="20"/>
          <w:szCs w:val="22"/>
          <w:lang w:val="es-MX" w:eastAsia="es-MX"/>
        </w:rPr>
        <w:t>el</w:t>
      </w:r>
      <w:r w:rsidR="00D94CAE" w:rsidRPr="00423C60">
        <w:rPr>
          <w:rFonts w:ascii="Arial" w:hAnsi="Arial" w:cs="Arial"/>
          <w:sz w:val="20"/>
          <w:szCs w:val="22"/>
          <w:lang w:val="es-MX" w:eastAsia="es-MX"/>
        </w:rPr>
        <w:t xml:space="preserve"> oficio </w:t>
      </w:r>
      <w:r w:rsidR="00112743" w:rsidRPr="00423C60">
        <w:rPr>
          <w:rFonts w:ascii="Arial" w:hAnsi="Arial" w:cs="Arial"/>
          <w:sz w:val="20"/>
          <w:szCs w:val="22"/>
          <w:lang w:val="es-MX" w:eastAsia="es-MX"/>
        </w:rPr>
        <w:t>número</w:t>
      </w:r>
      <w:r w:rsidR="00645435" w:rsidRPr="00423C60">
        <w:rPr>
          <w:rFonts w:ascii="Arial" w:hAnsi="Arial" w:cs="Arial"/>
          <w:sz w:val="20"/>
          <w:szCs w:val="22"/>
          <w:lang w:val="es-MX" w:eastAsia="es-MX"/>
        </w:rPr>
        <w:t xml:space="preserve"> </w:t>
      </w:r>
      <w:r w:rsidR="005E65B1" w:rsidRPr="00423C60">
        <w:rPr>
          <w:rFonts w:ascii="Arial" w:hAnsi="Arial" w:cs="Arial"/>
          <w:sz w:val="20"/>
          <w:szCs w:val="22"/>
          <w:lang w:val="es-MX" w:eastAsia="es-MX"/>
        </w:rPr>
        <w:t>159/I/VAC/2023</w:t>
      </w:r>
      <w:r w:rsidR="00112743" w:rsidRPr="00423C60">
        <w:rPr>
          <w:rFonts w:ascii="Arial" w:hAnsi="Arial" w:cs="Arial"/>
          <w:sz w:val="20"/>
          <w:szCs w:val="22"/>
          <w:lang w:val="es-MX" w:eastAsia="es-MX"/>
        </w:rPr>
        <w:t>,</w:t>
      </w:r>
      <w:r w:rsidR="00645435" w:rsidRPr="00423C60">
        <w:rPr>
          <w:rFonts w:ascii="Arial" w:hAnsi="Arial" w:cs="Arial"/>
          <w:sz w:val="20"/>
          <w:szCs w:val="22"/>
          <w:lang w:val="es-MX" w:eastAsia="es-MX"/>
        </w:rPr>
        <w:t xml:space="preserve"> mismo que se adjunta</w:t>
      </w:r>
      <w:r w:rsidR="00112743" w:rsidRPr="00423C60">
        <w:rPr>
          <w:rFonts w:ascii="Arial" w:hAnsi="Arial" w:cs="Arial"/>
          <w:sz w:val="20"/>
          <w:szCs w:val="22"/>
          <w:lang w:val="es-MX" w:eastAsia="es-MX"/>
        </w:rPr>
        <w:t xml:space="preserve"> al presente; e</w:t>
      </w:r>
      <w:r w:rsidR="001E6C58" w:rsidRPr="00423C60">
        <w:rPr>
          <w:rFonts w:ascii="Arial" w:hAnsi="Arial" w:cs="Arial"/>
          <w:sz w:val="20"/>
          <w:szCs w:val="22"/>
          <w:lang w:val="es-MX" w:eastAsia="es-MX"/>
        </w:rPr>
        <w:t xml:space="preserve">n </w:t>
      </w:r>
      <w:r w:rsidR="00112743" w:rsidRPr="00423C60">
        <w:rPr>
          <w:rFonts w:ascii="Arial" w:hAnsi="Arial" w:cs="Arial"/>
          <w:sz w:val="20"/>
          <w:szCs w:val="22"/>
          <w:lang w:val="es-MX" w:eastAsia="es-MX"/>
        </w:rPr>
        <w:t xml:space="preserve">el cual </w:t>
      </w:r>
      <w:r w:rsidR="001E6C58" w:rsidRPr="00423C60">
        <w:rPr>
          <w:rFonts w:ascii="Arial" w:hAnsi="Arial" w:cs="Arial"/>
          <w:sz w:val="20"/>
          <w:szCs w:val="22"/>
          <w:lang w:val="es-MX" w:eastAsia="es-MX"/>
        </w:rPr>
        <w:t>se man</w:t>
      </w:r>
      <w:r w:rsidR="00112743" w:rsidRPr="00423C60">
        <w:rPr>
          <w:rFonts w:ascii="Arial" w:hAnsi="Arial" w:cs="Arial"/>
          <w:sz w:val="20"/>
          <w:szCs w:val="22"/>
          <w:lang w:val="es-MX" w:eastAsia="es-MX"/>
        </w:rPr>
        <w:t xml:space="preserve">ifiesta la necesidad </w:t>
      </w:r>
      <w:r w:rsidR="00766991" w:rsidRPr="00423C60">
        <w:rPr>
          <w:rFonts w:ascii="Arial" w:hAnsi="Arial" w:cs="Arial"/>
          <w:sz w:val="20"/>
          <w:szCs w:val="22"/>
          <w:lang w:val="es-MX" w:eastAsia="es-MX"/>
        </w:rPr>
        <w:t xml:space="preserve">de fortalecer la infraestructura de la Universidad de la Cañada para el adecuado desarrollo del proceso enseñanza-aprendizaje. Con esto </w:t>
      </w:r>
      <w:r w:rsidR="00112743" w:rsidRPr="00423C60">
        <w:rPr>
          <w:rFonts w:ascii="Arial" w:hAnsi="Arial" w:cs="Arial"/>
          <w:sz w:val="20"/>
          <w:szCs w:val="22"/>
          <w:lang w:val="es-MX" w:eastAsia="es-MX"/>
        </w:rPr>
        <w:t xml:space="preserve">se beneficia </w:t>
      </w:r>
      <w:r w:rsidR="00766991" w:rsidRPr="00423C60">
        <w:rPr>
          <w:rFonts w:ascii="Arial" w:hAnsi="Arial" w:cs="Arial"/>
          <w:sz w:val="20"/>
          <w:szCs w:val="22"/>
          <w:lang w:val="es-MX" w:eastAsia="es-MX"/>
        </w:rPr>
        <w:t>toda la comunidad universitaria, ofreciendo espacios educativos adecuados y suficientes donde puedan conjugar los conocimientos adquiridos y brindar una educación integral y de calidad a los estudiantes.</w:t>
      </w:r>
    </w:p>
    <w:p w14:paraId="0F5A639D" w14:textId="742C4D75" w:rsidR="00BF5206" w:rsidRPr="00DA6ED9" w:rsidRDefault="00BF5206" w:rsidP="00210473">
      <w:pPr>
        <w:spacing w:line="0" w:lineRule="atLeast"/>
        <w:ind w:right="-25"/>
        <w:jc w:val="both"/>
        <w:rPr>
          <w:rFonts w:ascii="Arial" w:hAnsi="Arial" w:cs="Arial"/>
          <w:sz w:val="10"/>
          <w:szCs w:val="10"/>
          <w:lang w:val="es-MX" w:eastAsia="es-MX"/>
        </w:rPr>
      </w:pPr>
    </w:p>
    <w:p w14:paraId="1620F856" w14:textId="77777777" w:rsidR="006D31EB" w:rsidRPr="00DA6ED9" w:rsidRDefault="006D31EB" w:rsidP="00F204A5">
      <w:pPr>
        <w:ind w:right="-25"/>
        <w:jc w:val="both"/>
        <w:rPr>
          <w:rFonts w:ascii="Arial" w:hAnsi="Arial" w:cs="Arial"/>
          <w:sz w:val="10"/>
          <w:szCs w:val="10"/>
          <w:lang w:val="es-MX" w:eastAsia="es-MX"/>
        </w:rPr>
      </w:pPr>
    </w:p>
    <w:p w14:paraId="325D36FE" w14:textId="456004CB" w:rsidR="00F204A5" w:rsidRDefault="00766991" w:rsidP="00F204A5">
      <w:pPr>
        <w:ind w:right="-25"/>
        <w:jc w:val="both"/>
        <w:rPr>
          <w:rFonts w:ascii="Arial" w:hAnsi="Arial" w:cs="Arial"/>
          <w:sz w:val="20"/>
          <w:szCs w:val="22"/>
          <w:lang w:val="es-MX" w:eastAsia="es-MX"/>
        </w:rPr>
      </w:pPr>
      <w:r w:rsidRPr="00423C60">
        <w:rPr>
          <w:rFonts w:ascii="Arial" w:hAnsi="Arial" w:cs="Arial"/>
          <w:sz w:val="20"/>
          <w:szCs w:val="22"/>
          <w:lang w:val="es-MX" w:eastAsia="es-MX"/>
        </w:rPr>
        <w:t>Asimismo</w:t>
      </w:r>
      <w:r w:rsidR="00F204A5" w:rsidRPr="00423C60">
        <w:rPr>
          <w:rFonts w:ascii="Arial" w:hAnsi="Arial" w:cs="Arial"/>
          <w:sz w:val="20"/>
          <w:szCs w:val="22"/>
          <w:lang w:val="es-MX" w:eastAsia="es-MX"/>
        </w:rPr>
        <w:t xml:space="preserve">, es importante señalar que el proceso </w:t>
      </w:r>
      <w:r w:rsidR="00B93502">
        <w:rPr>
          <w:rFonts w:ascii="Arial" w:hAnsi="Arial" w:cs="Arial"/>
          <w:sz w:val="20"/>
          <w:szCs w:val="22"/>
          <w:lang w:val="es-MX" w:eastAsia="es-MX"/>
        </w:rPr>
        <w:t>de adjudicación directa</w:t>
      </w:r>
      <w:r w:rsidR="00F204A5" w:rsidRPr="00423C60">
        <w:rPr>
          <w:rFonts w:ascii="Arial" w:hAnsi="Arial" w:cs="Arial"/>
          <w:sz w:val="20"/>
          <w:szCs w:val="22"/>
          <w:lang w:val="es-MX" w:eastAsia="es-MX"/>
        </w:rPr>
        <w:t>, garantiza el debido cumplimiento de los criterios de máxima publicidad, economía, eficacia, eficiencia, imparcialidad, honradez, legalidad y transparencia que aseguran las mejores condiciones de contratación para la Universidad de la Cañada.</w:t>
      </w:r>
    </w:p>
    <w:p w14:paraId="64819C8B" w14:textId="77777777" w:rsidR="00830FAC" w:rsidRDefault="00830FAC" w:rsidP="00830FAC">
      <w:pPr>
        <w:autoSpaceDE w:val="0"/>
        <w:autoSpaceDN w:val="0"/>
        <w:adjustRightInd w:val="0"/>
        <w:jc w:val="both"/>
        <w:rPr>
          <w:rFonts w:ascii="Arial" w:hAnsi="Arial" w:cs="Arial"/>
          <w:sz w:val="20"/>
          <w:szCs w:val="22"/>
          <w:lang w:val="es-MX" w:eastAsia="es-MX"/>
        </w:rPr>
      </w:pPr>
    </w:p>
    <w:p w14:paraId="7E5FEA9C" w14:textId="76DE0DF2" w:rsidR="00C61ACB" w:rsidRPr="00C61ACB" w:rsidRDefault="00766991" w:rsidP="00C61ACB">
      <w:pPr>
        <w:autoSpaceDE w:val="0"/>
        <w:autoSpaceDN w:val="0"/>
        <w:adjustRightInd w:val="0"/>
        <w:spacing w:line="240" w:lineRule="atLeast"/>
        <w:ind w:right="-25"/>
        <w:jc w:val="both"/>
        <w:rPr>
          <w:rFonts w:ascii="Arial" w:hAnsi="Arial" w:cs="Arial"/>
          <w:sz w:val="20"/>
          <w:szCs w:val="22"/>
          <w:lang w:val="es-MX" w:eastAsia="es-MX"/>
        </w:rPr>
      </w:pPr>
      <w:r w:rsidRPr="00423C60">
        <w:rPr>
          <w:rFonts w:ascii="Arial" w:hAnsi="Arial" w:cs="Arial"/>
          <w:sz w:val="20"/>
          <w:szCs w:val="22"/>
          <w:lang w:val="es-MX" w:eastAsia="es-MX"/>
        </w:rPr>
        <w:t xml:space="preserve">Por lo antes expuesto, adjunto </w:t>
      </w:r>
      <w:r w:rsidR="00210473" w:rsidRPr="00423C60">
        <w:rPr>
          <w:rFonts w:ascii="Arial" w:hAnsi="Arial" w:cs="Arial"/>
          <w:sz w:val="20"/>
          <w:szCs w:val="22"/>
          <w:lang w:val="es-MX" w:eastAsia="es-MX"/>
        </w:rPr>
        <w:t>la siguiente documentación para el análisis del Comité de Adquisiciones, Enajenaciones, Arrendamientos y</w:t>
      </w:r>
      <w:r w:rsidR="00051D4B" w:rsidRPr="00423C60">
        <w:rPr>
          <w:rFonts w:ascii="Arial" w:hAnsi="Arial" w:cs="Arial"/>
          <w:sz w:val="20"/>
          <w:szCs w:val="22"/>
          <w:lang w:val="es-MX" w:eastAsia="es-MX"/>
        </w:rPr>
        <w:t xml:space="preserve"> Servicios del Estado de Oax</w:t>
      </w:r>
      <w:r w:rsidR="00C61ACB">
        <w:rPr>
          <w:rFonts w:ascii="Arial" w:hAnsi="Arial" w:cs="Arial"/>
          <w:sz w:val="20"/>
          <w:szCs w:val="22"/>
          <w:lang w:val="es-MX" w:eastAsia="es-MX"/>
        </w:rPr>
        <w:t xml:space="preserve">aca, </w:t>
      </w:r>
      <w:r w:rsidR="00C61ACB" w:rsidRPr="00C61ACB">
        <w:rPr>
          <w:rFonts w:ascii="Arial" w:hAnsi="Arial" w:cs="Arial"/>
          <w:sz w:val="20"/>
          <w:szCs w:val="22"/>
          <w:lang w:val="es-MX" w:eastAsia="es-MX"/>
        </w:rPr>
        <w:t>en apego al artículo 15 de la Ley Estatal de Austeridad Republicana.</w:t>
      </w:r>
    </w:p>
    <w:p w14:paraId="686D3547" w14:textId="77777777" w:rsidR="00051D4B" w:rsidRPr="00C61ACB" w:rsidRDefault="00051D4B" w:rsidP="00210473">
      <w:pPr>
        <w:spacing w:line="0" w:lineRule="atLeast"/>
        <w:ind w:right="-25"/>
        <w:jc w:val="both"/>
        <w:rPr>
          <w:rFonts w:ascii="Arial" w:hAnsi="Arial" w:cs="Arial"/>
          <w:sz w:val="10"/>
          <w:szCs w:val="10"/>
          <w:lang w:val="es-MX" w:eastAsia="es-MX"/>
        </w:rPr>
      </w:pPr>
    </w:p>
    <w:p w14:paraId="2E7FDFCF" w14:textId="0D34AF5F" w:rsidR="00C61ACB" w:rsidRPr="00C61ACB" w:rsidRDefault="00B93502" w:rsidP="00C61ACB">
      <w:pPr>
        <w:numPr>
          <w:ilvl w:val="0"/>
          <w:numId w:val="4"/>
        </w:numPr>
        <w:autoSpaceDE w:val="0"/>
        <w:autoSpaceDN w:val="0"/>
        <w:adjustRightInd w:val="0"/>
        <w:spacing w:line="240" w:lineRule="atLeast"/>
        <w:ind w:left="426" w:right="-25" w:hanging="426"/>
        <w:jc w:val="both"/>
        <w:rPr>
          <w:rFonts w:ascii="Arial" w:hAnsi="Arial" w:cs="Arial"/>
          <w:sz w:val="20"/>
          <w:szCs w:val="22"/>
          <w:lang w:val="es-MX" w:eastAsia="es-MX"/>
        </w:rPr>
      </w:pPr>
      <w:r>
        <w:rPr>
          <w:rFonts w:ascii="Arial" w:hAnsi="Arial" w:cs="Arial"/>
          <w:sz w:val="20"/>
          <w:szCs w:val="22"/>
          <w:lang w:val="es-MX" w:eastAsia="es-MX"/>
        </w:rPr>
        <w:t>Copia legible del o</w:t>
      </w:r>
      <w:r w:rsidR="00C61ACB" w:rsidRPr="00C61ACB">
        <w:rPr>
          <w:rFonts w:ascii="Arial" w:hAnsi="Arial" w:cs="Arial"/>
          <w:sz w:val="20"/>
          <w:szCs w:val="22"/>
          <w:lang w:val="es-MX" w:eastAsia="es-MX"/>
        </w:rPr>
        <w:t>ficio de autorización de recursos número SF/SPIP/DPIP/FAM-IES/0</w:t>
      </w:r>
      <w:r w:rsidR="00C61ACB">
        <w:rPr>
          <w:rFonts w:ascii="Arial" w:hAnsi="Arial" w:cs="Arial"/>
          <w:sz w:val="20"/>
          <w:szCs w:val="22"/>
          <w:lang w:val="es-MX" w:eastAsia="es-MX"/>
        </w:rPr>
        <w:t>288</w:t>
      </w:r>
      <w:r w:rsidR="00C61ACB" w:rsidRPr="00C61ACB">
        <w:rPr>
          <w:rFonts w:ascii="Arial" w:hAnsi="Arial" w:cs="Arial"/>
          <w:sz w:val="20"/>
          <w:szCs w:val="22"/>
          <w:lang w:val="es-MX" w:eastAsia="es-MX"/>
        </w:rPr>
        <w:t>/2023</w:t>
      </w:r>
      <w:r w:rsidR="00C61ACB">
        <w:rPr>
          <w:rFonts w:ascii="Arial" w:hAnsi="Arial" w:cs="Arial"/>
          <w:sz w:val="20"/>
          <w:szCs w:val="22"/>
          <w:lang w:val="es-MX" w:eastAsia="es-MX"/>
        </w:rPr>
        <w:t>;</w:t>
      </w:r>
    </w:p>
    <w:p w14:paraId="7AB9C3EA" w14:textId="1EE379D9" w:rsidR="00C61ACB" w:rsidRDefault="00830FAC" w:rsidP="00C61ACB">
      <w:pPr>
        <w:numPr>
          <w:ilvl w:val="0"/>
          <w:numId w:val="4"/>
        </w:numPr>
        <w:autoSpaceDE w:val="0"/>
        <w:autoSpaceDN w:val="0"/>
        <w:adjustRightInd w:val="0"/>
        <w:spacing w:line="240" w:lineRule="atLeast"/>
        <w:ind w:left="426" w:right="-25" w:hanging="426"/>
        <w:jc w:val="both"/>
        <w:rPr>
          <w:rFonts w:ascii="Arial" w:hAnsi="Arial" w:cs="Arial"/>
          <w:sz w:val="20"/>
          <w:szCs w:val="22"/>
          <w:lang w:val="es-MX" w:eastAsia="es-MX"/>
        </w:rPr>
      </w:pPr>
      <w:r>
        <w:rPr>
          <w:rFonts w:ascii="Arial" w:hAnsi="Arial" w:cs="Arial"/>
          <w:sz w:val="20"/>
          <w:szCs w:val="22"/>
          <w:lang w:val="es-MX" w:eastAsia="es-MX"/>
        </w:rPr>
        <w:t>Suficiencia Presupuestal (R</w:t>
      </w:r>
      <w:r w:rsidR="00C61ACB" w:rsidRPr="00C61ACB">
        <w:rPr>
          <w:rFonts w:ascii="Arial" w:hAnsi="Arial" w:cs="Arial"/>
          <w:sz w:val="20"/>
          <w:szCs w:val="22"/>
          <w:lang w:val="es-MX" w:eastAsia="es-MX"/>
        </w:rPr>
        <w:t>eporte presupuestal emitido por el Sistema Estatal de Fin</w:t>
      </w:r>
      <w:r>
        <w:rPr>
          <w:rFonts w:ascii="Arial" w:hAnsi="Arial" w:cs="Arial"/>
          <w:sz w:val="20"/>
          <w:szCs w:val="22"/>
          <w:lang w:val="es-MX" w:eastAsia="es-MX"/>
        </w:rPr>
        <w:t>anzas Publicas de Oaxaca SEFIP</w:t>
      </w:r>
      <w:r w:rsidR="00C61ACB" w:rsidRPr="00C61ACB">
        <w:rPr>
          <w:rFonts w:ascii="Arial" w:hAnsi="Arial" w:cs="Arial"/>
          <w:sz w:val="20"/>
          <w:szCs w:val="22"/>
          <w:lang w:val="es-MX" w:eastAsia="es-MX"/>
        </w:rPr>
        <w:t xml:space="preserve"> 2023</w:t>
      </w:r>
      <w:r>
        <w:rPr>
          <w:rFonts w:ascii="Arial" w:hAnsi="Arial" w:cs="Arial"/>
          <w:sz w:val="20"/>
          <w:szCs w:val="22"/>
          <w:lang w:val="es-MX" w:eastAsia="es-MX"/>
        </w:rPr>
        <w:t>)</w:t>
      </w:r>
      <w:r w:rsidR="00C61ACB">
        <w:rPr>
          <w:rFonts w:ascii="Arial" w:hAnsi="Arial" w:cs="Arial"/>
          <w:sz w:val="20"/>
          <w:szCs w:val="22"/>
          <w:lang w:val="es-MX" w:eastAsia="es-MX"/>
        </w:rPr>
        <w:t>;</w:t>
      </w:r>
    </w:p>
    <w:p w14:paraId="1A8C20AE" w14:textId="5D0DC444" w:rsidR="00C61ACB" w:rsidRPr="00C61ACB" w:rsidRDefault="00C61ACB" w:rsidP="00C61ACB">
      <w:pPr>
        <w:numPr>
          <w:ilvl w:val="0"/>
          <w:numId w:val="4"/>
        </w:numPr>
        <w:autoSpaceDE w:val="0"/>
        <w:autoSpaceDN w:val="0"/>
        <w:adjustRightInd w:val="0"/>
        <w:spacing w:line="240" w:lineRule="atLeast"/>
        <w:ind w:left="426" w:right="-25" w:hanging="426"/>
        <w:jc w:val="both"/>
        <w:rPr>
          <w:rFonts w:ascii="Arial" w:hAnsi="Arial" w:cs="Arial"/>
          <w:sz w:val="20"/>
          <w:szCs w:val="22"/>
          <w:lang w:val="es-MX" w:eastAsia="es-MX"/>
        </w:rPr>
      </w:pPr>
      <w:r w:rsidRPr="00C61ACB">
        <w:rPr>
          <w:rFonts w:ascii="Arial" w:hAnsi="Arial" w:cs="Arial"/>
          <w:sz w:val="20"/>
          <w:szCs w:val="22"/>
          <w:lang w:val="es-MX" w:eastAsia="es-MX"/>
        </w:rPr>
        <w:t>Espe</w:t>
      </w:r>
      <w:r w:rsidR="00051EFF">
        <w:rPr>
          <w:rFonts w:ascii="Arial" w:hAnsi="Arial" w:cs="Arial"/>
          <w:sz w:val="20"/>
          <w:szCs w:val="22"/>
          <w:lang w:val="es-MX" w:eastAsia="es-MX"/>
        </w:rPr>
        <w:t xml:space="preserve">cificaciones Técnicas; </w:t>
      </w:r>
    </w:p>
    <w:p w14:paraId="0CCE8449" w14:textId="3C86B299" w:rsidR="00C61ACB" w:rsidRDefault="00C61ACB" w:rsidP="00C61ACB">
      <w:pPr>
        <w:numPr>
          <w:ilvl w:val="0"/>
          <w:numId w:val="4"/>
        </w:numPr>
        <w:autoSpaceDE w:val="0"/>
        <w:autoSpaceDN w:val="0"/>
        <w:adjustRightInd w:val="0"/>
        <w:spacing w:line="240" w:lineRule="atLeast"/>
        <w:ind w:left="426" w:right="-25" w:hanging="426"/>
        <w:jc w:val="both"/>
        <w:rPr>
          <w:rFonts w:ascii="Arial" w:hAnsi="Arial" w:cs="Arial"/>
          <w:sz w:val="20"/>
          <w:szCs w:val="22"/>
          <w:lang w:val="es-MX" w:eastAsia="es-MX"/>
        </w:rPr>
      </w:pPr>
      <w:r w:rsidRPr="00C61ACB">
        <w:rPr>
          <w:rFonts w:ascii="Arial" w:hAnsi="Arial" w:cs="Arial"/>
          <w:sz w:val="20"/>
          <w:szCs w:val="22"/>
          <w:lang w:val="es-MX" w:eastAsia="es-MX"/>
        </w:rPr>
        <w:t>Investigación de mercado con anexos</w:t>
      </w:r>
      <w:r w:rsidR="00530A70">
        <w:rPr>
          <w:rFonts w:ascii="Arial" w:hAnsi="Arial" w:cs="Arial"/>
          <w:sz w:val="20"/>
          <w:szCs w:val="22"/>
          <w:lang w:val="es-MX" w:eastAsia="es-MX"/>
        </w:rPr>
        <w:t>; y</w:t>
      </w:r>
    </w:p>
    <w:p w14:paraId="7669FA09" w14:textId="05522A3E" w:rsidR="00530A70" w:rsidRPr="00530A70" w:rsidRDefault="00051EFF" w:rsidP="00D1763A">
      <w:pPr>
        <w:numPr>
          <w:ilvl w:val="0"/>
          <w:numId w:val="4"/>
        </w:numPr>
        <w:autoSpaceDE w:val="0"/>
        <w:autoSpaceDN w:val="0"/>
        <w:adjustRightInd w:val="0"/>
        <w:spacing w:line="0" w:lineRule="atLeast"/>
        <w:ind w:left="426" w:right="-25" w:hanging="426"/>
        <w:jc w:val="both"/>
        <w:rPr>
          <w:rFonts w:ascii="Arial" w:hAnsi="Arial" w:cs="Arial"/>
          <w:sz w:val="20"/>
          <w:szCs w:val="22"/>
          <w:lang w:val="es-MX" w:eastAsia="es-MX"/>
        </w:rPr>
      </w:pPr>
      <w:r w:rsidRPr="00530A70">
        <w:rPr>
          <w:rFonts w:ascii="Arial" w:hAnsi="Arial" w:cs="Arial"/>
          <w:sz w:val="20"/>
          <w:szCs w:val="22"/>
          <w:lang w:val="es-MX" w:eastAsia="es-MX"/>
        </w:rPr>
        <w:t>Dictamen de justificación de Adjudicación Directa por excepción a la Licitación</w:t>
      </w:r>
      <w:r w:rsidR="00530A70" w:rsidRPr="00530A70">
        <w:rPr>
          <w:rFonts w:ascii="Arial" w:hAnsi="Arial" w:cs="Arial"/>
          <w:sz w:val="20"/>
          <w:szCs w:val="22"/>
          <w:lang w:val="es-MX" w:eastAsia="es-MX"/>
        </w:rPr>
        <w:t xml:space="preserve"> y anexos como:</w:t>
      </w:r>
      <w:r w:rsidR="00530A70">
        <w:rPr>
          <w:rFonts w:ascii="Arial" w:hAnsi="Arial" w:cs="Arial"/>
          <w:sz w:val="20"/>
          <w:szCs w:val="22"/>
          <w:lang w:val="es-MX" w:eastAsia="es-MX"/>
        </w:rPr>
        <w:t xml:space="preserve"> </w:t>
      </w:r>
      <w:r w:rsidR="00530A70" w:rsidRPr="00530A70">
        <w:rPr>
          <w:rFonts w:ascii="Arial" w:hAnsi="Arial" w:cs="Arial"/>
          <w:sz w:val="20"/>
          <w:szCs w:val="22"/>
          <w:lang w:val="es-MX" w:eastAsia="es-MX"/>
        </w:rPr>
        <w:t>Notificación del Fallo a la Invitación Abierta Estatal</w:t>
      </w:r>
      <w:r w:rsidR="00530A70">
        <w:rPr>
          <w:rFonts w:ascii="Arial" w:hAnsi="Arial" w:cs="Arial"/>
          <w:sz w:val="20"/>
          <w:szCs w:val="22"/>
          <w:lang w:val="es-MX" w:eastAsia="es-MX"/>
        </w:rPr>
        <w:t xml:space="preserve"> y Anexo A de las Bases del proceso licitatorio </w:t>
      </w:r>
      <w:r w:rsidR="00530A70" w:rsidRPr="00530A70">
        <w:rPr>
          <w:rFonts w:ascii="Arial" w:hAnsi="Arial" w:cs="Arial"/>
          <w:sz w:val="20"/>
          <w:szCs w:val="22"/>
          <w:lang w:val="es-MX" w:eastAsia="es-MX"/>
        </w:rPr>
        <w:t>IAE-SA-UC-0009-08/2023</w:t>
      </w:r>
      <w:r w:rsidR="00530A70">
        <w:rPr>
          <w:rFonts w:ascii="Arial" w:hAnsi="Arial" w:cs="Arial"/>
          <w:sz w:val="20"/>
          <w:szCs w:val="22"/>
          <w:lang w:val="es-MX" w:eastAsia="es-MX"/>
        </w:rPr>
        <w:t xml:space="preserve"> relativos al </w:t>
      </w:r>
      <w:r w:rsidR="00530A70" w:rsidRPr="00530A70">
        <w:rPr>
          <w:rFonts w:ascii="Arial" w:hAnsi="Arial" w:cs="Arial"/>
          <w:sz w:val="20"/>
          <w:szCs w:val="22"/>
          <w:lang w:val="es-MX" w:eastAsia="es-MX"/>
        </w:rPr>
        <w:t>"EQUIPAMIENTO DE LABORATORIOS DE DOCENCIA, SALAS DE CÓMPUTO Y DIVERSOS ESPACIOS EDUCATIVOS DE LA UNIVERSIDAD DE LA CAÑADA”</w:t>
      </w:r>
      <w:r w:rsidR="00530A70">
        <w:rPr>
          <w:rFonts w:ascii="Arial" w:hAnsi="Arial" w:cs="Arial"/>
          <w:sz w:val="20"/>
          <w:szCs w:val="22"/>
          <w:lang w:val="es-MX" w:eastAsia="es-MX"/>
        </w:rPr>
        <w:t>.</w:t>
      </w:r>
    </w:p>
    <w:p w14:paraId="2FDB7BDE" w14:textId="77777777" w:rsidR="00530A70" w:rsidRPr="00530A70" w:rsidRDefault="00530A70" w:rsidP="00530A70">
      <w:pPr>
        <w:autoSpaceDE w:val="0"/>
        <w:autoSpaceDN w:val="0"/>
        <w:adjustRightInd w:val="0"/>
        <w:spacing w:line="0" w:lineRule="atLeast"/>
        <w:ind w:left="426" w:right="-25"/>
        <w:jc w:val="both"/>
        <w:rPr>
          <w:rFonts w:ascii="Arial" w:hAnsi="Arial" w:cs="Arial"/>
          <w:sz w:val="20"/>
          <w:szCs w:val="22"/>
          <w:lang w:val="es-MX" w:eastAsia="es-MX"/>
        </w:rPr>
      </w:pPr>
    </w:p>
    <w:p w14:paraId="6BC83919" w14:textId="274B4EFD" w:rsidR="00210473" w:rsidRDefault="00210473" w:rsidP="00210473">
      <w:pPr>
        <w:autoSpaceDE w:val="0"/>
        <w:autoSpaceDN w:val="0"/>
        <w:adjustRightInd w:val="0"/>
        <w:spacing w:line="0" w:lineRule="atLeast"/>
        <w:ind w:right="-25"/>
        <w:jc w:val="both"/>
        <w:rPr>
          <w:rFonts w:ascii="Arial" w:hAnsi="Arial" w:cs="Arial"/>
          <w:sz w:val="20"/>
          <w:szCs w:val="22"/>
          <w:lang w:val="es-MX" w:eastAsia="es-MX"/>
        </w:rPr>
      </w:pPr>
      <w:r w:rsidRPr="00423C60">
        <w:rPr>
          <w:rFonts w:ascii="Arial" w:hAnsi="Arial" w:cs="Arial"/>
          <w:sz w:val="20"/>
          <w:szCs w:val="22"/>
          <w:lang w:val="es-MX" w:eastAsia="es-MX"/>
        </w:rPr>
        <w:t>Sin otro particular, le reitero mi más atenta y distinguida consideración.</w:t>
      </w:r>
    </w:p>
    <w:p w14:paraId="0F2208AB" w14:textId="77777777" w:rsidR="006F6AD1" w:rsidRPr="00423C60" w:rsidRDefault="006F6AD1" w:rsidP="00210473">
      <w:pPr>
        <w:autoSpaceDE w:val="0"/>
        <w:autoSpaceDN w:val="0"/>
        <w:adjustRightInd w:val="0"/>
        <w:spacing w:line="0" w:lineRule="atLeast"/>
        <w:ind w:right="-25"/>
        <w:jc w:val="both"/>
        <w:rPr>
          <w:rFonts w:ascii="Arial" w:hAnsi="Arial" w:cs="Arial"/>
          <w:sz w:val="20"/>
          <w:szCs w:val="22"/>
          <w:lang w:val="es-MX" w:eastAsia="es-MX"/>
        </w:rPr>
      </w:pPr>
    </w:p>
    <w:p w14:paraId="5191A456" w14:textId="6DC5B7CA" w:rsidR="00210473" w:rsidRDefault="00210473" w:rsidP="00210473">
      <w:pPr>
        <w:autoSpaceDE w:val="0"/>
        <w:autoSpaceDN w:val="0"/>
        <w:adjustRightInd w:val="0"/>
        <w:spacing w:line="0" w:lineRule="atLeast"/>
        <w:ind w:right="-25"/>
        <w:jc w:val="both"/>
        <w:rPr>
          <w:rFonts w:ascii="Arial" w:hAnsi="Arial" w:cs="Arial"/>
          <w:sz w:val="20"/>
          <w:szCs w:val="22"/>
          <w:lang w:val="es-MX" w:eastAsia="es-MX"/>
        </w:rPr>
      </w:pPr>
    </w:p>
    <w:p w14:paraId="5528BB7D" w14:textId="77777777" w:rsidR="00D52CAB" w:rsidRDefault="00D52CAB" w:rsidP="00210473">
      <w:pPr>
        <w:autoSpaceDE w:val="0"/>
        <w:autoSpaceDN w:val="0"/>
        <w:adjustRightInd w:val="0"/>
        <w:spacing w:line="0" w:lineRule="atLeast"/>
        <w:ind w:right="-25"/>
        <w:jc w:val="both"/>
        <w:rPr>
          <w:rFonts w:ascii="Arial" w:hAnsi="Arial" w:cs="Arial"/>
          <w:sz w:val="20"/>
          <w:szCs w:val="22"/>
          <w:lang w:val="es-MX" w:eastAsia="es-MX"/>
        </w:rPr>
      </w:pPr>
    </w:p>
    <w:p w14:paraId="439BF283" w14:textId="77777777" w:rsidR="00B93502" w:rsidRPr="00423C60" w:rsidRDefault="00B93502" w:rsidP="00210473">
      <w:pPr>
        <w:autoSpaceDE w:val="0"/>
        <w:autoSpaceDN w:val="0"/>
        <w:adjustRightInd w:val="0"/>
        <w:spacing w:line="0" w:lineRule="atLeast"/>
        <w:ind w:right="-25"/>
        <w:jc w:val="both"/>
        <w:rPr>
          <w:rFonts w:ascii="Arial" w:hAnsi="Arial" w:cs="Arial"/>
          <w:sz w:val="20"/>
          <w:szCs w:val="22"/>
          <w:lang w:val="es-MX" w:eastAsia="es-MX"/>
        </w:rPr>
      </w:pPr>
    </w:p>
    <w:p w14:paraId="5B5A683C" w14:textId="77777777" w:rsidR="00210473" w:rsidRPr="00423C60" w:rsidRDefault="00210473" w:rsidP="00210473">
      <w:pPr>
        <w:spacing w:line="0" w:lineRule="atLeast"/>
        <w:ind w:left="142" w:right="-25"/>
        <w:jc w:val="center"/>
        <w:rPr>
          <w:rFonts w:ascii="Arial" w:hAnsi="Arial" w:cs="Arial"/>
          <w:b/>
          <w:sz w:val="22"/>
          <w:szCs w:val="22"/>
          <w:lang w:val="es-MX"/>
        </w:rPr>
      </w:pPr>
      <w:r w:rsidRPr="00423C60">
        <w:rPr>
          <w:rFonts w:ascii="Arial" w:hAnsi="Arial" w:cs="Arial"/>
          <w:b/>
          <w:sz w:val="22"/>
          <w:szCs w:val="22"/>
          <w:lang w:val="es-MX"/>
        </w:rPr>
        <w:t>Atentamente.</w:t>
      </w:r>
    </w:p>
    <w:p w14:paraId="365D9C57" w14:textId="77777777" w:rsidR="0090188E" w:rsidRPr="00423C60" w:rsidRDefault="0090188E" w:rsidP="0090188E">
      <w:pPr>
        <w:jc w:val="center"/>
        <w:rPr>
          <w:rFonts w:ascii="Arial" w:hAnsi="Arial" w:cs="Arial"/>
          <w:i/>
          <w:sz w:val="22"/>
          <w:szCs w:val="22"/>
        </w:rPr>
      </w:pPr>
      <w:r w:rsidRPr="00423C60">
        <w:rPr>
          <w:rFonts w:ascii="Arial" w:hAnsi="Arial" w:cs="Arial"/>
          <w:i/>
          <w:sz w:val="22"/>
          <w:szCs w:val="22"/>
        </w:rPr>
        <w:t>“</w:t>
      </w:r>
      <w:r w:rsidR="00F318B9" w:rsidRPr="00423C60">
        <w:rPr>
          <w:rFonts w:ascii="Arial" w:hAnsi="Arial" w:cs="Arial"/>
          <w:i/>
          <w:sz w:val="22"/>
          <w:szCs w:val="22"/>
        </w:rPr>
        <w:t>Praeteritum</w:t>
      </w:r>
      <w:r w:rsidRPr="00423C60">
        <w:rPr>
          <w:rFonts w:ascii="Arial" w:hAnsi="Arial" w:cs="Arial"/>
          <w:i/>
          <w:sz w:val="22"/>
          <w:szCs w:val="22"/>
        </w:rPr>
        <w:t xml:space="preserve"> noscere, posterum molior”</w:t>
      </w:r>
    </w:p>
    <w:p w14:paraId="40438794" w14:textId="16AD9509" w:rsidR="00210473" w:rsidRDefault="00210473" w:rsidP="00210473">
      <w:pPr>
        <w:spacing w:line="0" w:lineRule="atLeast"/>
        <w:ind w:right="-25"/>
        <w:rPr>
          <w:rFonts w:ascii="Arial" w:hAnsi="Arial" w:cs="Arial"/>
          <w:b/>
          <w:sz w:val="22"/>
          <w:szCs w:val="22"/>
          <w:lang w:val="es-MX"/>
        </w:rPr>
      </w:pPr>
    </w:p>
    <w:p w14:paraId="1C3B3FF5" w14:textId="77777777" w:rsidR="00D52CAB" w:rsidRPr="00423C60" w:rsidRDefault="00D52CAB" w:rsidP="00210473">
      <w:pPr>
        <w:spacing w:line="0" w:lineRule="atLeast"/>
        <w:ind w:right="-25"/>
        <w:rPr>
          <w:rFonts w:ascii="Arial" w:hAnsi="Arial" w:cs="Arial"/>
          <w:b/>
          <w:sz w:val="22"/>
          <w:szCs w:val="22"/>
          <w:lang w:val="es-MX"/>
        </w:rPr>
      </w:pPr>
    </w:p>
    <w:p w14:paraId="79B507A9" w14:textId="77777777" w:rsidR="00210473" w:rsidRPr="00423C60" w:rsidRDefault="00210473" w:rsidP="00210473">
      <w:pPr>
        <w:spacing w:line="0" w:lineRule="atLeast"/>
        <w:ind w:left="142" w:right="-25"/>
        <w:jc w:val="center"/>
        <w:rPr>
          <w:rFonts w:ascii="Arial" w:hAnsi="Arial" w:cs="Arial"/>
          <w:b/>
          <w:sz w:val="22"/>
          <w:szCs w:val="22"/>
          <w:lang w:val="es-MX"/>
        </w:rPr>
      </w:pPr>
    </w:p>
    <w:p w14:paraId="30F3E8DD" w14:textId="34868697" w:rsidR="00210473" w:rsidRPr="00423C60" w:rsidRDefault="0052720C" w:rsidP="00210473">
      <w:pPr>
        <w:spacing w:line="0" w:lineRule="atLeast"/>
        <w:ind w:left="142" w:right="-25"/>
        <w:jc w:val="center"/>
        <w:rPr>
          <w:rFonts w:ascii="Arial" w:hAnsi="Arial" w:cs="Arial"/>
          <w:b/>
          <w:sz w:val="22"/>
          <w:szCs w:val="22"/>
          <w:lang w:val="es-MX"/>
        </w:rPr>
      </w:pPr>
      <w:r w:rsidRPr="00423C60">
        <w:rPr>
          <w:rFonts w:ascii="Arial" w:hAnsi="Arial" w:cs="Arial"/>
          <w:b/>
          <w:sz w:val="22"/>
          <w:szCs w:val="22"/>
          <w:lang w:val="es-MX"/>
        </w:rPr>
        <w:t>Mtra. María de los Ángeles Peralta Arias</w:t>
      </w:r>
    </w:p>
    <w:p w14:paraId="21862CF7" w14:textId="20FE695C" w:rsidR="00112743" w:rsidRDefault="00210473" w:rsidP="00210473">
      <w:pPr>
        <w:spacing w:line="0" w:lineRule="atLeast"/>
        <w:ind w:left="142" w:right="-25"/>
        <w:jc w:val="center"/>
        <w:rPr>
          <w:rFonts w:ascii="Arial" w:hAnsi="Arial" w:cs="Arial"/>
          <w:b/>
          <w:sz w:val="22"/>
          <w:szCs w:val="22"/>
          <w:lang w:val="es-MX"/>
        </w:rPr>
      </w:pPr>
      <w:r w:rsidRPr="00423C60">
        <w:rPr>
          <w:rFonts w:ascii="Arial" w:hAnsi="Arial" w:cs="Arial"/>
          <w:b/>
          <w:sz w:val="22"/>
          <w:szCs w:val="22"/>
          <w:lang w:val="es-MX"/>
        </w:rPr>
        <w:t>Rector</w:t>
      </w:r>
      <w:r w:rsidR="0052720C" w:rsidRPr="00423C60">
        <w:rPr>
          <w:rFonts w:ascii="Arial" w:hAnsi="Arial" w:cs="Arial"/>
          <w:b/>
          <w:sz w:val="22"/>
          <w:szCs w:val="22"/>
          <w:lang w:val="es-MX"/>
        </w:rPr>
        <w:t>a</w:t>
      </w:r>
    </w:p>
    <w:p w14:paraId="5B1CBBE5" w14:textId="78613959" w:rsidR="00B93502" w:rsidRDefault="00B93502" w:rsidP="00210473">
      <w:pPr>
        <w:spacing w:line="0" w:lineRule="atLeast"/>
        <w:ind w:left="142" w:right="-25"/>
        <w:jc w:val="center"/>
        <w:rPr>
          <w:rFonts w:ascii="Arial" w:hAnsi="Arial" w:cs="Arial"/>
          <w:b/>
          <w:sz w:val="22"/>
          <w:szCs w:val="22"/>
          <w:lang w:val="es-MX"/>
        </w:rPr>
      </w:pPr>
    </w:p>
    <w:p w14:paraId="44E20085" w14:textId="28114AA2" w:rsidR="00B93502" w:rsidRDefault="00B93502" w:rsidP="00210473">
      <w:pPr>
        <w:spacing w:line="0" w:lineRule="atLeast"/>
        <w:ind w:left="142" w:right="-25"/>
        <w:jc w:val="center"/>
        <w:rPr>
          <w:rFonts w:ascii="Arial" w:hAnsi="Arial" w:cs="Arial"/>
          <w:b/>
          <w:sz w:val="22"/>
          <w:szCs w:val="22"/>
          <w:lang w:val="es-MX"/>
        </w:rPr>
      </w:pPr>
    </w:p>
    <w:p w14:paraId="4618EF4C" w14:textId="45A11518" w:rsidR="00D52CAB" w:rsidRDefault="00D52CAB" w:rsidP="00210473">
      <w:pPr>
        <w:spacing w:line="0" w:lineRule="atLeast"/>
        <w:ind w:left="142" w:right="-25"/>
        <w:jc w:val="center"/>
        <w:rPr>
          <w:rFonts w:ascii="Arial" w:hAnsi="Arial" w:cs="Arial"/>
          <w:b/>
          <w:sz w:val="22"/>
          <w:szCs w:val="22"/>
          <w:lang w:val="es-MX"/>
        </w:rPr>
      </w:pPr>
    </w:p>
    <w:p w14:paraId="4FB3156E" w14:textId="77777777" w:rsidR="00D52CAB" w:rsidRDefault="00D52CAB" w:rsidP="00210473">
      <w:pPr>
        <w:spacing w:line="0" w:lineRule="atLeast"/>
        <w:ind w:left="142" w:right="-25"/>
        <w:jc w:val="center"/>
        <w:rPr>
          <w:rFonts w:ascii="Arial" w:hAnsi="Arial" w:cs="Arial"/>
          <w:b/>
          <w:sz w:val="22"/>
          <w:szCs w:val="22"/>
          <w:lang w:val="es-MX"/>
        </w:rPr>
      </w:pPr>
    </w:p>
    <w:p w14:paraId="6447C451" w14:textId="77777777" w:rsidR="006F6AD1" w:rsidRPr="00D52CAB" w:rsidRDefault="006F6AD1" w:rsidP="00210473">
      <w:pPr>
        <w:spacing w:line="0" w:lineRule="atLeast"/>
        <w:ind w:left="142" w:right="-25"/>
        <w:jc w:val="center"/>
        <w:rPr>
          <w:rFonts w:ascii="Arial" w:hAnsi="Arial" w:cs="Arial"/>
          <w:b/>
          <w:sz w:val="22"/>
          <w:szCs w:val="22"/>
          <w:lang w:val="es-MX"/>
        </w:rPr>
      </w:pPr>
    </w:p>
    <w:p w14:paraId="53D62EF8" w14:textId="77777777" w:rsidR="000B0DC9" w:rsidRPr="00C61ACB" w:rsidRDefault="000B0DC9" w:rsidP="00210473">
      <w:pPr>
        <w:spacing w:line="0" w:lineRule="atLeast"/>
        <w:ind w:left="142" w:right="-25"/>
        <w:jc w:val="center"/>
        <w:rPr>
          <w:rFonts w:ascii="Arial" w:hAnsi="Arial" w:cs="Arial"/>
          <w:b/>
          <w:sz w:val="20"/>
          <w:lang w:val="es-MX"/>
        </w:rPr>
      </w:pPr>
    </w:p>
    <w:tbl>
      <w:tblPr>
        <w:tblW w:w="0" w:type="auto"/>
        <w:tblLook w:val="04A0" w:firstRow="1" w:lastRow="0" w:firstColumn="1" w:lastColumn="0" w:noHBand="0" w:noVBand="1"/>
      </w:tblPr>
      <w:tblGrid>
        <w:gridCol w:w="647"/>
        <w:gridCol w:w="9031"/>
      </w:tblGrid>
      <w:tr w:rsidR="00210473" w:rsidRPr="0052720C" w14:paraId="6F22D4F2" w14:textId="77777777" w:rsidTr="007B4551">
        <w:tc>
          <w:tcPr>
            <w:tcW w:w="647" w:type="dxa"/>
          </w:tcPr>
          <w:p w14:paraId="0817EA5A" w14:textId="77777777" w:rsidR="00210473" w:rsidRPr="0052720C" w:rsidRDefault="00210473" w:rsidP="00B32C3C">
            <w:pPr>
              <w:jc w:val="both"/>
              <w:rPr>
                <w:rFonts w:ascii="Arial" w:hAnsi="Arial" w:cs="Arial"/>
                <w:sz w:val="14"/>
                <w:szCs w:val="14"/>
                <w:lang w:val="es-MX"/>
              </w:rPr>
            </w:pPr>
            <w:r w:rsidRPr="0052720C">
              <w:rPr>
                <w:rFonts w:ascii="Arial" w:hAnsi="Arial" w:cs="Arial"/>
                <w:sz w:val="14"/>
                <w:szCs w:val="14"/>
                <w:lang w:val="es-MX"/>
              </w:rPr>
              <w:t>C.c.p.-</w:t>
            </w:r>
          </w:p>
        </w:tc>
        <w:tc>
          <w:tcPr>
            <w:tcW w:w="9031" w:type="dxa"/>
          </w:tcPr>
          <w:p w14:paraId="1886316D" w14:textId="77777777" w:rsidR="00210473" w:rsidRPr="0052720C" w:rsidRDefault="00210473" w:rsidP="00B32C3C">
            <w:pPr>
              <w:jc w:val="both"/>
              <w:rPr>
                <w:rFonts w:ascii="Arial" w:hAnsi="Arial" w:cs="Arial"/>
                <w:sz w:val="14"/>
                <w:szCs w:val="14"/>
                <w:lang w:val="es-MX"/>
              </w:rPr>
            </w:pPr>
            <w:r w:rsidRPr="0052720C">
              <w:rPr>
                <w:rFonts w:ascii="Arial" w:hAnsi="Arial" w:cs="Arial"/>
                <w:sz w:val="14"/>
                <w:szCs w:val="14"/>
                <w:lang w:val="es-MX"/>
              </w:rPr>
              <w:t>L.C.E. Alfonso Martínez López. – Vice-Rector de Administración de la Universidad de la Cañada. – Para su conocimiento y seguimiento.</w:t>
            </w:r>
          </w:p>
        </w:tc>
      </w:tr>
      <w:tr w:rsidR="00210473" w:rsidRPr="0052720C" w14:paraId="5D4D6ECD" w14:textId="77777777" w:rsidTr="007B4551">
        <w:tc>
          <w:tcPr>
            <w:tcW w:w="647" w:type="dxa"/>
          </w:tcPr>
          <w:p w14:paraId="26504A84" w14:textId="77777777" w:rsidR="00210473" w:rsidRPr="0052720C" w:rsidRDefault="00210473" w:rsidP="00B32C3C">
            <w:pPr>
              <w:jc w:val="both"/>
              <w:rPr>
                <w:rFonts w:ascii="Arial" w:hAnsi="Arial" w:cs="Arial"/>
                <w:sz w:val="14"/>
                <w:szCs w:val="14"/>
                <w:lang w:val="es-MX"/>
              </w:rPr>
            </w:pPr>
          </w:p>
        </w:tc>
        <w:tc>
          <w:tcPr>
            <w:tcW w:w="9031" w:type="dxa"/>
          </w:tcPr>
          <w:p w14:paraId="71477481" w14:textId="77777777" w:rsidR="00210473" w:rsidRPr="0052720C" w:rsidRDefault="00210473" w:rsidP="00B32C3C">
            <w:pPr>
              <w:jc w:val="both"/>
              <w:rPr>
                <w:rFonts w:ascii="Arial" w:hAnsi="Arial" w:cs="Arial"/>
                <w:sz w:val="14"/>
                <w:szCs w:val="14"/>
              </w:rPr>
            </w:pPr>
            <w:r w:rsidRPr="0052720C">
              <w:rPr>
                <w:rFonts w:ascii="Arial" w:hAnsi="Arial" w:cs="Arial"/>
                <w:sz w:val="14"/>
                <w:szCs w:val="14"/>
              </w:rPr>
              <w:t xml:space="preserve">L.C. </w:t>
            </w:r>
            <w:r w:rsidR="00A01084" w:rsidRPr="0052720C">
              <w:rPr>
                <w:rFonts w:ascii="Arial" w:hAnsi="Arial" w:cs="Arial"/>
                <w:sz w:val="14"/>
                <w:szCs w:val="14"/>
              </w:rPr>
              <w:t>Jaime Rodolfo Reyes Toscano</w:t>
            </w:r>
            <w:r w:rsidRPr="0052720C">
              <w:rPr>
                <w:rFonts w:ascii="Arial" w:hAnsi="Arial" w:cs="Arial"/>
                <w:sz w:val="14"/>
                <w:szCs w:val="14"/>
              </w:rPr>
              <w:t>.- Auditor Interno.- Para su conocimiento.</w:t>
            </w:r>
          </w:p>
        </w:tc>
      </w:tr>
      <w:tr w:rsidR="007B4551" w:rsidRPr="0052720C" w14:paraId="5CFEC915" w14:textId="77777777" w:rsidTr="007B4551">
        <w:tc>
          <w:tcPr>
            <w:tcW w:w="647" w:type="dxa"/>
          </w:tcPr>
          <w:p w14:paraId="7EA084B6" w14:textId="77777777" w:rsidR="007B4551" w:rsidRPr="0052720C" w:rsidRDefault="007B4551" w:rsidP="00B32C3C">
            <w:pPr>
              <w:jc w:val="both"/>
              <w:rPr>
                <w:rFonts w:ascii="Arial" w:hAnsi="Arial" w:cs="Arial"/>
                <w:sz w:val="14"/>
                <w:szCs w:val="14"/>
                <w:lang w:val="es-MX"/>
              </w:rPr>
            </w:pPr>
          </w:p>
        </w:tc>
        <w:tc>
          <w:tcPr>
            <w:tcW w:w="9031" w:type="dxa"/>
          </w:tcPr>
          <w:p w14:paraId="6F103CF0" w14:textId="77777777" w:rsidR="007B4551" w:rsidRPr="0052720C" w:rsidRDefault="007B4551" w:rsidP="00B32C3C">
            <w:pPr>
              <w:jc w:val="both"/>
              <w:rPr>
                <w:rFonts w:ascii="Arial" w:hAnsi="Arial" w:cs="Arial"/>
                <w:sz w:val="14"/>
                <w:szCs w:val="14"/>
                <w:lang w:val="es-MX"/>
              </w:rPr>
            </w:pPr>
            <w:r w:rsidRPr="0052720C">
              <w:rPr>
                <w:rFonts w:ascii="Arial" w:hAnsi="Arial" w:cs="Arial"/>
                <w:sz w:val="14"/>
                <w:szCs w:val="14"/>
                <w:lang w:val="es-MX"/>
              </w:rPr>
              <w:t>M.A. Shirley Merino Pérez.- Jefa del Departamento de Recursos Materiales.- Mismo fin.</w:t>
            </w:r>
          </w:p>
        </w:tc>
      </w:tr>
      <w:tr w:rsidR="007B4551" w:rsidRPr="0052720C" w14:paraId="542765DA" w14:textId="77777777" w:rsidTr="007B4551">
        <w:tc>
          <w:tcPr>
            <w:tcW w:w="647" w:type="dxa"/>
          </w:tcPr>
          <w:p w14:paraId="35751B3F" w14:textId="77777777" w:rsidR="007B4551" w:rsidRPr="0052720C" w:rsidRDefault="007B4551" w:rsidP="00B32C3C">
            <w:pPr>
              <w:jc w:val="both"/>
              <w:rPr>
                <w:rFonts w:ascii="Arial" w:hAnsi="Arial" w:cs="Arial"/>
                <w:sz w:val="14"/>
                <w:szCs w:val="14"/>
                <w:lang w:val="es-MX"/>
              </w:rPr>
            </w:pPr>
          </w:p>
        </w:tc>
        <w:tc>
          <w:tcPr>
            <w:tcW w:w="9031" w:type="dxa"/>
          </w:tcPr>
          <w:p w14:paraId="68A319F3" w14:textId="77777777" w:rsidR="007B4551" w:rsidRPr="0052720C" w:rsidRDefault="007B4551" w:rsidP="00B32C3C">
            <w:pPr>
              <w:jc w:val="both"/>
              <w:rPr>
                <w:rFonts w:ascii="Arial" w:hAnsi="Arial" w:cs="Arial"/>
                <w:sz w:val="14"/>
                <w:szCs w:val="14"/>
                <w:lang w:val="es-MX"/>
              </w:rPr>
            </w:pPr>
            <w:r w:rsidRPr="0052720C">
              <w:rPr>
                <w:rFonts w:ascii="Arial" w:hAnsi="Arial" w:cs="Arial"/>
                <w:sz w:val="14"/>
                <w:szCs w:val="14"/>
                <w:lang w:val="es-MX"/>
              </w:rPr>
              <w:t>Expediente.</w:t>
            </w:r>
          </w:p>
        </w:tc>
      </w:tr>
    </w:tbl>
    <w:p w14:paraId="067B4F97" w14:textId="77777777" w:rsidR="00CA2330" w:rsidRPr="00674658" w:rsidRDefault="00CA2330" w:rsidP="007B4551">
      <w:pPr>
        <w:rPr>
          <w:rFonts w:ascii="Arial" w:hAnsi="Arial" w:cs="Arial"/>
        </w:rPr>
      </w:pPr>
    </w:p>
    <w:sectPr w:rsidR="00CA2330" w:rsidRPr="00674658" w:rsidSect="00C7702A">
      <w:headerReference w:type="default" r:id="rId8"/>
      <w:footerReference w:type="default" r:id="rId9"/>
      <w:pgSz w:w="12240" w:h="15840" w:code="1"/>
      <w:pgMar w:top="2127" w:right="1134" w:bottom="1701" w:left="1418"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CBF8" w14:textId="77777777" w:rsidR="000C5A25" w:rsidRDefault="000C5A25" w:rsidP="00210473">
      <w:r>
        <w:separator/>
      </w:r>
    </w:p>
  </w:endnote>
  <w:endnote w:type="continuationSeparator" w:id="0">
    <w:p w14:paraId="25670CDE" w14:textId="77777777" w:rsidR="000C5A25" w:rsidRDefault="000C5A25" w:rsidP="0021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ia Pro Light">
    <w:altName w:val="Calibri"/>
    <w:panose1 w:val="00000000000000000000"/>
    <w:charset w:val="00"/>
    <w:family w:val="modern"/>
    <w:notTrueType/>
    <w:pitch w:val="variable"/>
    <w:sig w:usb0="00000001" w:usb1="5000E47B" w:usb2="00000000" w:usb3="00000000" w:csb0="00000097" w:csb1="00000000"/>
  </w:font>
  <w:font w:name="CG Omega">
    <w:altName w:val="Bahnschrift Light"/>
    <w:charset w:val="00"/>
    <w:family w:val="swiss"/>
    <w:pitch w:val="variable"/>
    <w:sig w:usb0="00000005"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0B4F" w14:textId="77777777" w:rsidR="00BB62FD" w:rsidRDefault="00AC1404" w:rsidP="004A29F9">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CARRETERA TEOTITLÁN-SAN ANTONIO NANAHUATIPAN KM. 1.7, TEOTITLÁN DE FLORES MAGÓN, OAX</w:t>
    </w:r>
    <w:r w:rsidRPr="00293965">
      <w:rPr>
        <w:rFonts w:ascii="CG Omega" w:hAnsi="CG Omega"/>
        <w:spacing w:val="2"/>
        <w:position w:val="4"/>
        <w:sz w:val="16"/>
        <w:szCs w:val="16"/>
        <w:lang w:val="es-MX"/>
      </w:rPr>
      <w:t xml:space="preserve">.   </w:t>
    </w:r>
  </w:p>
  <w:p w14:paraId="2F90C1D2" w14:textId="6A8C8D43" w:rsidR="007B79E7" w:rsidRDefault="00AC1404" w:rsidP="004A29F9">
    <w:pPr>
      <w:pStyle w:val="Piedepgina"/>
      <w:pBdr>
        <w:top w:val="single" w:sz="4" w:space="1" w:color="auto"/>
      </w:pBdr>
      <w:jc w:val="center"/>
      <w:rPr>
        <w:rFonts w:ascii="CG Omega" w:hAnsi="CG Omega"/>
        <w:spacing w:val="2"/>
        <w:position w:val="4"/>
        <w:sz w:val="16"/>
        <w:szCs w:val="16"/>
        <w:lang w:val="es-MX"/>
      </w:rPr>
    </w:pPr>
    <w:r w:rsidRPr="00293965">
      <w:rPr>
        <w:rFonts w:ascii="CG Omega" w:hAnsi="CG Omega"/>
        <w:spacing w:val="2"/>
        <w:position w:val="4"/>
        <w:sz w:val="16"/>
        <w:szCs w:val="16"/>
        <w:lang w:val="es-MX"/>
      </w:rPr>
      <w:t>TEL.</w:t>
    </w:r>
    <w:r>
      <w:rPr>
        <w:rFonts w:ascii="CG Omega" w:hAnsi="CG Omega"/>
        <w:spacing w:val="2"/>
        <w:position w:val="4"/>
        <w:sz w:val="16"/>
        <w:szCs w:val="16"/>
        <w:lang w:val="es-MX"/>
      </w:rPr>
      <w:t xml:space="preserve">: 01 (236) 37 2 07 </w:t>
    </w:r>
    <w:r w:rsidRPr="00293965">
      <w:rPr>
        <w:rFonts w:ascii="CG Omega" w:hAnsi="CG Omega"/>
        <w:spacing w:val="2"/>
        <w:position w:val="4"/>
        <w:sz w:val="16"/>
        <w:szCs w:val="16"/>
        <w:lang w:val="es-MX"/>
      </w:rPr>
      <w:t>12</w:t>
    </w:r>
    <w:r>
      <w:rPr>
        <w:rFonts w:ascii="CG Omega" w:hAnsi="CG Omega"/>
        <w:spacing w:val="2"/>
        <w:position w:val="4"/>
        <w:sz w:val="16"/>
        <w:szCs w:val="16"/>
        <w:lang w:val="es-MX"/>
      </w:rPr>
      <w:t>, 37 2 07 15 y 37 2 07 47.</w:t>
    </w:r>
  </w:p>
  <w:p w14:paraId="2D142B44" w14:textId="7AE4B317" w:rsidR="0052720C" w:rsidRPr="00293965" w:rsidRDefault="0052720C" w:rsidP="004A29F9">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www.unca.edu.mx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69756" w14:textId="77777777" w:rsidR="000C5A25" w:rsidRDefault="000C5A25" w:rsidP="00210473">
      <w:r>
        <w:separator/>
      </w:r>
    </w:p>
  </w:footnote>
  <w:footnote w:type="continuationSeparator" w:id="0">
    <w:p w14:paraId="4E47EE32" w14:textId="77777777" w:rsidR="000C5A25" w:rsidRDefault="000C5A25" w:rsidP="0021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E665" w14:textId="4BD96162" w:rsidR="00674658" w:rsidRPr="001B3FD2" w:rsidRDefault="00674658" w:rsidP="00F12267">
    <w:pPr>
      <w:pStyle w:val="Encabezado"/>
      <w:jc w:val="both"/>
      <w:rPr>
        <w:rFonts w:ascii="CG Omega" w:hAnsi="CG Omega"/>
        <w:b/>
        <w:smallCaps/>
        <w:spacing w:val="22"/>
        <w:sz w:val="34"/>
        <w:szCs w:val="36"/>
        <w:lang w:val="es-MX"/>
      </w:rPr>
    </w:pPr>
    <w:r>
      <w:rPr>
        <w:rFonts w:ascii="Calisto MT" w:hAnsi="Calisto MT"/>
        <w:b/>
        <w:smallCaps/>
        <w:noProof/>
        <w:spacing w:val="22"/>
        <w:sz w:val="36"/>
        <w:szCs w:val="36"/>
        <w:lang w:val="es-MX" w:eastAsia="es-MX"/>
      </w:rPr>
      <w:drawing>
        <wp:anchor distT="0" distB="0" distL="114300" distR="114300" simplePos="0" relativeHeight="251659264" behindDoc="1" locked="0" layoutInCell="1" allowOverlap="1" wp14:anchorId="1522407B" wp14:editId="5E106D3F">
          <wp:simplePos x="0" y="0"/>
          <wp:positionH relativeFrom="column">
            <wp:posOffset>-62230</wp:posOffset>
          </wp:positionH>
          <wp:positionV relativeFrom="paragraph">
            <wp:posOffset>-240665</wp:posOffset>
          </wp:positionV>
          <wp:extent cx="895350" cy="914400"/>
          <wp:effectExtent l="0" t="0" r="0" b="0"/>
          <wp:wrapThrough wrapText="bothSides">
            <wp:wrapPolygon edited="0">
              <wp:start x="0" y="0"/>
              <wp:lineTo x="0" y="21150"/>
              <wp:lineTo x="21140" y="21150"/>
              <wp:lineTo x="21140" y="0"/>
              <wp:lineTo x="0" y="0"/>
            </wp:wrapPolygon>
          </wp:wrapThrough>
          <wp:docPr id="5" name="Imagen 5"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ca"/>
                  <pic:cNvPicPr>
                    <a:picLocks noChangeAspect="1" noChangeArrowheads="1"/>
                  </pic:cNvPicPr>
                </pic:nvPicPr>
                <pic:blipFill>
                  <a:blip r:embed="rId1"/>
                  <a:srcRect/>
                  <a:stretch>
                    <a:fillRect/>
                  </a:stretch>
                </pic:blipFill>
                <pic:spPr bwMode="auto">
                  <a:xfrm>
                    <a:off x="0" y="0"/>
                    <a:ext cx="895350" cy="914400"/>
                  </a:xfrm>
                  <a:prstGeom prst="rect">
                    <a:avLst/>
                  </a:prstGeom>
                  <a:noFill/>
                  <a:ln w="9525">
                    <a:noFill/>
                    <a:miter lim="800000"/>
                    <a:headEnd/>
                    <a:tailEnd/>
                  </a:ln>
                </pic:spPr>
              </pic:pic>
            </a:graphicData>
          </a:graphic>
          <wp14:sizeRelH relativeFrom="margin">
            <wp14:pctWidth>0</wp14:pctWidth>
          </wp14:sizeRelH>
        </wp:anchor>
      </w:drawing>
    </w:r>
    <w:r>
      <w:rPr>
        <w:rFonts w:ascii="Calisto MT" w:hAnsi="Calisto MT"/>
        <w:b/>
        <w:smallCaps/>
        <w:spacing w:val="22"/>
        <w:sz w:val="36"/>
        <w:szCs w:val="36"/>
        <w:lang w:val="es-MX"/>
      </w:rPr>
      <w:t xml:space="preserve">        </w:t>
    </w:r>
    <w:r w:rsidR="00F12267">
      <w:rPr>
        <w:rFonts w:ascii="Calisto MT" w:hAnsi="Calisto MT"/>
        <w:b/>
        <w:smallCaps/>
        <w:spacing w:val="22"/>
        <w:sz w:val="36"/>
        <w:szCs w:val="36"/>
        <w:lang w:val="es-MX"/>
      </w:rPr>
      <w:t xml:space="preserve">        </w:t>
    </w:r>
    <w:r w:rsidRPr="001B3FD2">
      <w:rPr>
        <w:rFonts w:ascii="CG Omega" w:hAnsi="CG Omega"/>
        <w:b/>
        <w:smallCaps/>
        <w:spacing w:val="22"/>
        <w:sz w:val="34"/>
        <w:szCs w:val="36"/>
        <w:lang w:val="es-MX"/>
      </w:rPr>
      <w:t xml:space="preserve">U n i v e r s i d a d   </w:t>
    </w:r>
    <w:proofErr w:type="spellStart"/>
    <w:r w:rsidRPr="001B3FD2">
      <w:rPr>
        <w:rFonts w:ascii="CG Omega" w:hAnsi="CG Omega"/>
        <w:b/>
        <w:smallCaps/>
        <w:spacing w:val="22"/>
        <w:sz w:val="34"/>
        <w:szCs w:val="36"/>
        <w:lang w:val="es-MX"/>
      </w:rPr>
      <w:t>d</w:t>
    </w:r>
    <w:proofErr w:type="spellEnd"/>
    <w:r w:rsidRPr="001B3FD2">
      <w:rPr>
        <w:rFonts w:ascii="CG Omega" w:hAnsi="CG Omega"/>
        <w:b/>
        <w:smallCaps/>
        <w:spacing w:val="22"/>
        <w:sz w:val="34"/>
        <w:szCs w:val="36"/>
        <w:lang w:val="es-MX"/>
      </w:rPr>
      <w:t xml:space="preserve"> e   </w:t>
    </w:r>
    <w:proofErr w:type="spellStart"/>
    <w:r w:rsidRPr="001B3FD2">
      <w:rPr>
        <w:rFonts w:ascii="CG Omega" w:hAnsi="CG Omega"/>
        <w:b/>
        <w:smallCaps/>
        <w:spacing w:val="22"/>
        <w:sz w:val="34"/>
        <w:szCs w:val="36"/>
        <w:lang w:val="es-MX"/>
      </w:rPr>
      <w:t>l a</w:t>
    </w:r>
    <w:proofErr w:type="spellEnd"/>
    <w:r w:rsidRPr="001B3FD2">
      <w:rPr>
        <w:rFonts w:ascii="CG Omega" w:hAnsi="CG Omega"/>
        <w:b/>
        <w:smallCaps/>
        <w:spacing w:val="22"/>
        <w:sz w:val="34"/>
        <w:szCs w:val="36"/>
        <w:lang w:val="es-MX"/>
      </w:rPr>
      <w:t xml:space="preserve">   C a ñ a d a </w:t>
    </w:r>
  </w:p>
  <w:p w14:paraId="075B9087" w14:textId="5A1692CA" w:rsidR="00674658" w:rsidRPr="00086739" w:rsidRDefault="00674658" w:rsidP="00F12267">
    <w:pPr>
      <w:pStyle w:val="Encabezado"/>
      <w:ind w:left="2340" w:hanging="360"/>
      <w:jc w:val="both"/>
      <w:rPr>
        <w:rFonts w:ascii="CG Omega" w:hAnsi="CG Omega"/>
        <w:b/>
        <w:smallCaps/>
        <w:spacing w:val="22"/>
        <w:sz w:val="28"/>
        <w:szCs w:val="32"/>
        <w:lang w:val="es-MX"/>
      </w:rPr>
    </w:pPr>
    <w:r w:rsidRPr="00086739">
      <w:rPr>
        <w:rFonts w:ascii="CG Omega" w:hAnsi="CG Omega"/>
        <w:b/>
        <w:smallCaps/>
        <w:spacing w:val="22"/>
        <w:sz w:val="32"/>
        <w:szCs w:val="36"/>
        <w:lang w:val="es-MX"/>
      </w:rPr>
      <w:t xml:space="preserve">           </w:t>
    </w:r>
    <w:r w:rsidR="00F12267">
      <w:rPr>
        <w:rFonts w:ascii="CG Omega" w:hAnsi="CG Omega"/>
        <w:b/>
        <w:smallCaps/>
        <w:spacing w:val="22"/>
        <w:sz w:val="32"/>
        <w:szCs w:val="36"/>
        <w:lang w:val="es-MX"/>
      </w:rPr>
      <w:t xml:space="preserve">              </w:t>
    </w:r>
    <w:r w:rsidRPr="00086739">
      <w:rPr>
        <w:rFonts w:ascii="CG Omega" w:hAnsi="CG Omega"/>
        <w:b/>
        <w:smallCaps/>
        <w:spacing w:val="22"/>
        <w:sz w:val="32"/>
        <w:szCs w:val="36"/>
        <w:lang w:val="es-MX"/>
      </w:rPr>
      <w:t xml:space="preserve">                                 </w:t>
    </w:r>
    <w:proofErr w:type="gramStart"/>
    <w:r w:rsidRPr="00086739">
      <w:rPr>
        <w:rFonts w:ascii="CG Omega" w:hAnsi="CG Omega"/>
        <w:b/>
        <w:smallCaps/>
        <w:spacing w:val="22"/>
        <w:sz w:val="28"/>
        <w:szCs w:val="32"/>
        <w:lang w:val="es-MX"/>
      </w:rPr>
      <w:t>r  e</w:t>
    </w:r>
    <w:proofErr w:type="gramEnd"/>
    <w:r w:rsidRPr="00086739">
      <w:rPr>
        <w:rFonts w:ascii="CG Omega" w:hAnsi="CG Omega"/>
        <w:b/>
        <w:smallCaps/>
        <w:spacing w:val="22"/>
        <w:sz w:val="28"/>
        <w:szCs w:val="32"/>
        <w:lang w:val="es-MX"/>
      </w:rPr>
      <w:t xml:space="preserve">  c  t  o  r  í  a</w:t>
    </w:r>
  </w:p>
  <w:p w14:paraId="5EC44ABB" w14:textId="77777777" w:rsidR="00674658" w:rsidRPr="002D1913" w:rsidRDefault="00674658" w:rsidP="00674658">
    <w:pPr>
      <w:pStyle w:val="Encabezado"/>
      <w:rPr>
        <w:rFonts w:ascii="CG Omega" w:hAnsi="CG Omega"/>
        <w:b/>
        <w:smallCaps/>
        <w:spacing w:val="22"/>
        <w:lang w:val="es-MX"/>
      </w:rPr>
    </w:pPr>
  </w:p>
  <w:p w14:paraId="2B73D0E9" w14:textId="77777777" w:rsidR="00674658" w:rsidRPr="002D1913" w:rsidRDefault="00674658" w:rsidP="00674658">
    <w:pPr>
      <w:pStyle w:val="Encabezado"/>
      <w:ind w:left="-284" w:right="-285"/>
      <w:jc w:val="center"/>
      <w:rPr>
        <w:rFonts w:ascii="CG Omega" w:hAnsi="CG Omega" w:cs="Arial"/>
        <w:b/>
        <w:smallCaps/>
        <w:spacing w:val="22"/>
        <w:sz w:val="15"/>
        <w:szCs w:val="15"/>
        <w:lang w:val="es-MX"/>
      </w:rPr>
    </w:pPr>
    <w:r w:rsidRPr="0051218F">
      <w:rPr>
        <w:rFonts w:ascii="CG Omega" w:hAnsi="CG Omega" w:cs="Arial"/>
        <w:b/>
        <w:smallCaps/>
        <w:spacing w:val="22"/>
        <w:sz w:val="18"/>
        <w:szCs w:val="15"/>
        <w:lang w:val="es-MX"/>
      </w:rPr>
      <w:t>“2023, año de la interculturalidad”.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6C020A"/>
    <w:lvl w:ilvl="0">
      <w:numFmt w:val="bullet"/>
      <w:lvlText w:val="*"/>
      <w:lvlJc w:val="left"/>
    </w:lvl>
  </w:abstractNum>
  <w:abstractNum w:abstractNumId="1" w15:restartNumberingAfterBreak="0">
    <w:nsid w:val="162F46C1"/>
    <w:multiLevelType w:val="hybridMultilevel"/>
    <w:tmpl w:val="2A347ACC"/>
    <w:lvl w:ilvl="0" w:tplc="333E24D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2E3856"/>
    <w:multiLevelType w:val="hybridMultilevel"/>
    <w:tmpl w:val="DC3EB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169A5"/>
    <w:multiLevelType w:val="hybridMultilevel"/>
    <w:tmpl w:val="808C1B66"/>
    <w:lvl w:ilvl="0" w:tplc="03D4572A">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4" w15:restartNumberingAfterBreak="0">
    <w:nsid w:val="405420AE"/>
    <w:multiLevelType w:val="hybridMultilevel"/>
    <w:tmpl w:val="D08C01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73"/>
    <w:rsid w:val="00032E8F"/>
    <w:rsid w:val="00040673"/>
    <w:rsid w:val="00040FF4"/>
    <w:rsid w:val="000416EB"/>
    <w:rsid w:val="00045835"/>
    <w:rsid w:val="00051D4B"/>
    <w:rsid w:val="00051EFF"/>
    <w:rsid w:val="000544D6"/>
    <w:rsid w:val="00061635"/>
    <w:rsid w:val="00066D3C"/>
    <w:rsid w:val="00070736"/>
    <w:rsid w:val="00080D8B"/>
    <w:rsid w:val="000906DE"/>
    <w:rsid w:val="0009569F"/>
    <w:rsid w:val="000B0DC9"/>
    <w:rsid w:val="000C0D3C"/>
    <w:rsid w:val="000C1248"/>
    <w:rsid w:val="000C4F9D"/>
    <w:rsid w:val="000C5A25"/>
    <w:rsid w:val="000C6AFF"/>
    <w:rsid w:val="000C7AD7"/>
    <w:rsid w:val="000D3C9F"/>
    <w:rsid w:val="000D406D"/>
    <w:rsid w:val="000E067B"/>
    <w:rsid w:val="000E2BC4"/>
    <w:rsid w:val="000E42A7"/>
    <w:rsid w:val="000E467B"/>
    <w:rsid w:val="000F30E4"/>
    <w:rsid w:val="00112743"/>
    <w:rsid w:val="00131526"/>
    <w:rsid w:val="00132B9B"/>
    <w:rsid w:val="00136E88"/>
    <w:rsid w:val="001473A8"/>
    <w:rsid w:val="001529ED"/>
    <w:rsid w:val="00157FDC"/>
    <w:rsid w:val="00160D9B"/>
    <w:rsid w:val="001E0F9D"/>
    <w:rsid w:val="001E2D12"/>
    <w:rsid w:val="001E6C58"/>
    <w:rsid w:val="001F082B"/>
    <w:rsid w:val="001F7254"/>
    <w:rsid w:val="002007C9"/>
    <w:rsid w:val="002048C9"/>
    <w:rsid w:val="00207611"/>
    <w:rsid w:val="00210473"/>
    <w:rsid w:val="00212D17"/>
    <w:rsid w:val="00214C3B"/>
    <w:rsid w:val="00231605"/>
    <w:rsid w:val="00247B31"/>
    <w:rsid w:val="002635D1"/>
    <w:rsid w:val="00265A06"/>
    <w:rsid w:val="0026779A"/>
    <w:rsid w:val="002869EF"/>
    <w:rsid w:val="002A4F5B"/>
    <w:rsid w:val="002A5D45"/>
    <w:rsid w:val="002B6F8F"/>
    <w:rsid w:val="002E2019"/>
    <w:rsid w:val="002E7C0F"/>
    <w:rsid w:val="002F2179"/>
    <w:rsid w:val="002F4A77"/>
    <w:rsid w:val="00301E17"/>
    <w:rsid w:val="00305DC3"/>
    <w:rsid w:val="00307B24"/>
    <w:rsid w:val="0032279A"/>
    <w:rsid w:val="00334498"/>
    <w:rsid w:val="003356FC"/>
    <w:rsid w:val="003379C8"/>
    <w:rsid w:val="0035272C"/>
    <w:rsid w:val="003619E8"/>
    <w:rsid w:val="00365151"/>
    <w:rsid w:val="003777C5"/>
    <w:rsid w:val="003804F0"/>
    <w:rsid w:val="00380CD5"/>
    <w:rsid w:val="0038353B"/>
    <w:rsid w:val="0039732D"/>
    <w:rsid w:val="003A353B"/>
    <w:rsid w:val="003B78C6"/>
    <w:rsid w:val="003C1BF2"/>
    <w:rsid w:val="003D2F94"/>
    <w:rsid w:val="003E787A"/>
    <w:rsid w:val="004060BD"/>
    <w:rsid w:val="0041252F"/>
    <w:rsid w:val="00413BAF"/>
    <w:rsid w:val="004167DD"/>
    <w:rsid w:val="00420C82"/>
    <w:rsid w:val="004212FC"/>
    <w:rsid w:val="00423C60"/>
    <w:rsid w:val="0042487E"/>
    <w:rsid w:val="00432123"/>
    <w:rsid w:val="00437000"/>
    <w:rsid w:val="0046263E"/>
    <w:rsid w:val="004652A9"/>
    <w:rsid w:val="004665C6"/>
    <w:rsid w:val="00491C92"/>
    <w:rsid w:val="00494A9C"/>
    <w:rsid w:val="004A3AE6"/>
    <w:rsid w:val="004B3CAE"/>
    <w:rsid w:val="004C5BFD"/>
    <w:rsid w:val="004D1551"/>
    <w:rsid w:val="004D389D"/>
    <w:rsid w:val="004E0891"/>
    <w:rsid w:val="004E336D"/>
    <w:rsid w:val="004E4D57"/>
    <w:rsid w:val="004E69B0"/>
    <w:rsid w:val="004F0272"/>
    <w:rsid w:val="004F0CE6"/>
    <w:rsid w:val="004F2494"/>
    <w:rsid w:val="004F5FA1"/>
    <w:rsid w:val="005054B9"/>
    <w:rsid w:val="00506B04"/>
    <w:rsid w:val="00510949"/>
    <w:rsid w:val="00515712"/>
    <w:rsid w:val="00516B28"/>
    <w:rsid w:val="00522DB4"/>
    <w:rsid w:val="00525738"/>
    <w:rsid w:val="0052720C"/>
    <w:rsid w:val="00530A70"/>
    <w:rsid w:val="00551397"/>
    <w:rsid w:val="00554CA9"/>
    <w:rsid w:val="00555FC7"/>
    <w:rsid w:val="005732AA"/>
    <w:rsid w:val="00587111"/>
    <w:rsid w:val="00590CC5"/>
    <w:rsid w:val="0059609C"/>
    <w:rsid w:val="005A02A6"/>
    <w:rsid w:val="005A603B"/>
    <w:rsid w:val="005B1ABB"/>
    <w:rsid w:val="005B2E65"/>
    <w:rsid w:val="005C09F2"/>
    <w:rsid w:val="005C1B69"/>
    <w:rsid w:val="005C5D87"/>
    <w:rsid w:val="005D6D71"/>
    <w:rsid w:val="005E4831"/>
    <w:rsid w:val="005E65B1"/>
    <w:rsid w:val="005F07C2"/>
    <w:rsid w:val="005F3BC9"/>
    <w:rsid w:val="005F442F"/>
    <w:rsid w:val="0060089E"/>
    <w:rsid w:val="00606A29"/>
    <w:rsid w:val="0061323F"/>
    <w:rsid w:val="00621EBE"/>
    <w:rsid w:val="00631642"/>
    <w:rsid w:val="00634B8C"/>
    <w:rsid w:val="00645435"/>
    <w:rsid w:val="00654F5D"/>
    <w:rsid w:val="00655CE0"/>
    <w:rsid w:val="00660345"/>
    <w:rsid w:val="00661DF7"/>
    <w:rsid w:val="0066622C"/>
    <w:rsid w:val="00670AED"/>
    <w:rsid w:val="00674658"/>
    <w:rsid w:val="00684A23"/>
    <w:rsid w:val="006850F7"/>
    <w:rsid w:val="00685263"/>
    <w:rsid w:val="0069482B"/>
    <w:rsid w:val="006A051A"/>
    <w:rsid w:val="006A2F34"/>
    <w:rsid w:val="006B23E6"/>
    <w:rsid w:val="006B6BAE"/>
    <w:rsid w:val="006D11B0"/>
    <w:rsid w:val="006D31EB"/>
    <w:rsid w:val="006E340C"/>
    <w:rsid w:val="006F41EA"/>
    <w:rsid w:val="006F6AD1"/>
    <w:rsid w:val="00704D9E"/>
    <w:rsid w:val="00710E8B"/>
    <w:rsid w:val="00727733"/>
    <w:rsid w:val="007349DF"/>
    <w:rsid w:val="0073563C"/>
    <w:rsid w:val="00741484"/>
    <w:rsid w:val="00761416"/>
    <w:rsid w:val="00762B00"/>
    <w:rsid w:val="00763631"/>
    <w:rsid w:val="007648F9"/>
    <w:rsid w:val="00766991"/>
    <w:rsid w:val="00770281"/>
    <w:rsid w:val="00775C5A"/>
    <w:rsid w:val="007A6D4B"/>
    <w:rsid w:val="007B4551"/>
    <w:rsid w:val="007B74C5"/>
    <w:rsid w:val="007D58F6"/>
    <w:rsid w:val="007E1634"/>
    <w:rsid w:val="007E3F8F"/>
    <w:rsid w:val="007F3324"/>
    <w:rsid w:val="0081024B"/>
    <w:rsid w:val="00817CA1"/>
    <w:rsid w:val="00823E11"/>
    <w:rsid w:val="00830FAC"/>
    <w:rsid w:val="00832C4F"/>
    <w:rsid w:val="0083515D"/>
    <w:rsid w:val="00845752"/>
    <w:rsid w:val="00851B19"/>
    <w:rsid w:val="00862CB3"/>
    <w:rsid w:val="00863E02"/>
    <w:rsid w:val="00865956"/>
    <w:rsid w:val="008678E3"/>
    <w:rsid w:val="00870413"/>
    <w:rsid w:val="00874743"/>
    <w:rsid w:val="00882CF5"/>
    <w:rsid w:val="008833DC"/>
    <w:rsid w:val="008900D6"/>
    <w:rsid w:val="00897DF8"/>
    <w:rsid w:val="008A70AB"/>
    <w:rsid w:val="008A76FC"/>
    <w:rsid w:val="008B0C66"/>
    <w:rsid w:val="008B665F"/>
    <w:rsid w:val="008C775E"/>
    <w:rsid w:val="008D302C"/>
    <w:rsid w:val="008F08E8"/>
    <w:rsid w:val="0090188E"/>
    <w:rsid w:val="009033FD"/>
    <w:rsid w:val="00904FBF"/>
    <w:rsid w:val="00912AD1"/>
    <w:rsid w:val="00912BF3"/>
    <w:rsid w:val="00920042"/>
    <w:rsid w:val="00942A1B"/>
    <w:rsid w:val="0095360B"/>
    <w:rsid w:val="00972CA7"/>
    <w:rsid w:val="00990293"/>
    <w:rsid w:val="009972C0"/>
    <w:rsid w:val="009A3A1F"/>
    <w:rsid w:val="009A481D"/>
    <w:rsid w:val="009A5D6B"/>
    <w:rsid w:val="009D2079"/>
    <w:rsid w:val="009E587D"/>
    <w:rsid w:val="009F27E9"/>
    <w:rsid w:val="009F6808"/>
    <w:rsid w:val="00A01084"/>
    <w:rsid w:val="00A01D42"/>
    <w:rsid w:val="00A163E7"/>
    <w:rsid w:val="00A23E3C"/>
    <w:rsid w:val="00A271DD"/>
    <w:rsid w:val="00A337E8"/>
    <w:rsid w:val="00A34858"/>
    <w:rsid w:val="00A3521B"/>
    <w:rsid w:val="00A44B64"/>
    <w:rsid w:val="00A51A25"/>
    <w:rsid w:val="00A535CF"/>
    <w:rsid w:val="00A57AED"/>
    <w:rsid w:val="00A650A6"/>
    <w:rsid w:val="00A7390B"/>
    <w:rsid w:val="00A7576B"/>
    <w:rsid w:val="00AA4AB6"/>
    <w:rsid w:val="00AA5D7C"/>
    <w:rsid w:val="00AC1404"/>
    <w:rsid w:val="00AE718C"/>
    <w:rsid w:val="00AF50FA"/>
    <w:rsid w:val="00B15DFF"/>
    <w:rsid w:val="00B16B70"/>
    <w:rsid w:val="00B218CB"/>
    <w:rsid w:val="00B22E95"/>
    <w:rsid w:val="00B37D63"/>
    <w:rsid w:val="00B45B88"/>
    <w:rsid w:val="00B4646B"/>
    <w:rsid w:val="00B65E65"/>
    <w:rsid w:val="00B81B11"/>
    <w:rsid w:val="00B85FAD"/>
    <w:rsid w:val="00B91452"/>
    <w:rsid w:val="00B9238E"/>
    <w:rsid w:val="00B93502"/>
    <w:rsid w:val="00B94480"/>
    <w:rsid w:val="00BB05ED"/>
    <w:rsid w:val="00BB6CD5"/>
    <w:rsid w:val="00BB7425"/>
    <w:rsid w:val="00BB7AFC"/>
    <w:rsid w:val="00BF2585"/>
    <w:rsid w:val="00BF5206"/>
    <w:rsid w:val="00C04598"/>
    <w:rsid w:val="00C07DF0"/>
    <w:rsid w:val="00C12C79"/>
    <w:rsid w:val="00C14234"/>
    <w:rsid w:val="00C20656"/>
    <w:rsid w:val="00C21CD9"/>
    <w:rsid w:val="00C26A87"/>
    <w:rsid w:val="00C517C5"/>
    <w:rsid w:val="00C542CA"/>
    <w:rsid w:val="00C61ACB"/>
    <w:rsid w:val="00C61CA3"/>
    <w:rsid w:val="00C75349"/>
    <w:rsid w:val="00C7702A"/>
    <w:rsid w:val="00C84A5F"/>
    <w:rsid w:val="00C84BFE"/>
    <w:rsid w:val="00C97F6C"/>
    <w:rsid w:val="00CA2330"/>
    <w:rsid w:val="00CB037B"/>
    <w:rsid w:val="00CB1364"/>
    <w:rsid w:val="00CB4965"/>
    <w:rsid w:val="00CD2480"/>
    <w:rsid w:val="00CD3D17"/>
    <w:rsid w:val="00CD75F7"/>
    <w:rsid w:val="00D0064D"/>
    <w:rsid w:val="00D234AE"/>
    <w:rsid w:val="00D24365"/>
    <w:rsid w:val="00D26164"/>
    <w:rsid w:val="00D31252"/>
    <w:rsid w:val="00D344DF"/>
    <w:rsid w:val="00D435A2"/>
    <w:rsid w:val="00D52CAB"/>
    <w:rsid w:val="00D54AB9"/>
    <w:rsid w:val="00D56CE0"/>
    <w:rsid w:val="00D622D7"/>
    <w:rsid w:val="00D75293"/>
    <w:rsid w:val="00D856AB"/>
    <w:rsid w:val="00D87684"/>
    <w:rsid w:val="00D91496"/>
    <w:rsid w:val="00D92E55"/>
    <w:rsid w:val="00D94CAE"/>
    <w:rsid w:val="00DA1D8B"/>
    <w:rsid w:val="00DA300C"/>
    <w:rsid w:val="00DA50DF"/>
    <w:rsid w:val="00DA6ED9"/>
    <w:rsid w:val="00DA711D"/>
    <w:rsid w:val="00DA7A48"/>
    <w:rsid w:val="00DB0C85"/>
    <w:rsid w:val="00DC008D"/>
    <w:rsid w:val="00DC21CD"/>
    <w:rsid w:val="00DC5598"/>
    <w:rsid w:val="00DD1074"/>
    <w:rsid w:val="00DE0190"/>
    <w:rsid w:val="00DF4352"/>
    <w:rsid w:val="00E106EC"/>
    <w:rsid w:val="00E1669F"/>
    <w:rsid w:val="00E17E28"/>
    <w:rsid w:val="00E20B28"/>
    <w:rsid w:val="00E41531"/>
    <w:rsid w:val="00E56285"/>
    <w:rsid w:val="00E659D9"/>
    <w:rsid w:val="00E71880"/>
    <w:rsid w:val="00E8297E"/>
    <w:rsid w:val="00E82FAB"/>
    <w:rsid w:val="00EB069C"/>
    <w:rsid w:val="00EB5D56"/>
    <w:rsid w:val="00EC0C89"/>
    <w:rsid w:val="00EE1FED"/>
    <w:rsid w:val="00EE20D5"/>
    <w:rsid w:val="00EE75A5"/>
    <w:rsid w:val="00EF0BDC"/>
    <w:rsid w:val="00EF18A6"/>
    <w:rsid w:val="00F12267"/>
    <w:rsid w:val="00F13C00"/>
    <w:rsid w:val="00F204A5"/>
    <w:rsid w:val="00F20F6D"/>
    <w:rsid w:val="00F318B9"/>
    <w:rsid w:val="00F32569"/>
    <w:rsid w:val="00F33408"/>
    <w:rsid w:val="00F35A71"/>
    <w:rsid w:val="00F55392"/>
    <w:rsid w:val="00F56BD3"/>
    <w:rsid w:val="00F60A03"/>
    <w:rsid w:val="00F6295C"/>
    <w:rsid w:val="00F72681"/>
    <w:rsid w:val="00F73363"/>
    <w:rsid w:val="00FA213F"/>
    <w:rsid w:val="00FA6F6B"/>
    <w:rsid w:val="00FA7413"/>
    <w:rsid w:val="00FC206B"/>
    <w:rsid w:val="00FC2801"/>
    <w:rsid w:val="00FC5442"/>
    <w:rsid w:val="00FC5C46"/>
    <w:rsid w:val="00FC5D3E"/>
    <w:rsid w:val="00FD7E14"/>
    <w:rsid w:val="00FF2156"/>
    <w:rsid w:val="00FF2C4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B7E3"/>
  <w15:docId w15:val="{D04BD323-E9B2-4B0E-87A9-105A00E8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4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rsid w:val="00210473"/>
    <w:pPr>
      <w:tabs>
        <w:tab w:val="center" w:pos="4252"/>
        <w:tab w:val="right" w:pos="8504"/>
      </w:tabs>
    </w:pPr>
  </w:style>
  <w:style w:type="character" w:customStyle="1" w:styleId="EncabezadoCar">
    <w:name w:val="Encabezado Car"/>
    <w:aliases w:val="h Car"/>
    <w:basedOn w:val="Fuentedeprrafopredeter"/>
    <w:link w:val="Encabezado"/>
    <w:rsid w:val="0021047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10473"/>
    <w:pPr>
      <w:tabs>
        <w:tab w:val="center" w:pos="4252"/>
        <w:tab w:val="right" w:pos="8504"/>
      </w:tabs>
    </w:pPr>
  </w:style>
  <w:style w:type="character" w:customStyle="1" w:styleId="PiedepginaCar">
    <w:name w:val="Pie de página Car"/>
    <w:basedOn w:val="Fuentedeprrafopredeter"/>
    <w:link w:val="Piedepgina"/>
    <w:rsid w:val="00210473"/>
    <w:rPr>
      <w:rFonts w:ascii="Times New Roman" w:eastAsia="Times New Roman" w:hAnsi="Times New Roman" w:cs="Times New Roman"/>
      <w:sz w:val="24"/>
      <w:szCs w:val="24"/>
      <w:lang w:val="es-ES" w:eastAsia="es-ES"/>
    </w:rPr>
  </w:style>
  <w:style w:type="paragraph" w:styleId="Prrafodelista">
    <w:name w:val="List Paragraph"/>
    <w:aliases w:val="Listas,lp1,List Paragraph1,List Paragraph,Bullet Number,lp11,List Paragraph11,Bullet 1,Use Case List Paragraph,Figura 1,Num Bullet 1,Bullet List,FooterText,numbered,Bulletr List Paragraph,列出段落,列出段落1,Lista vistosa - Énfasis 11,b1"/>
    <w:basedOn w:val="Normal"/>
    <w:link w:val="PrrafodelistaCar"/>
    <w:uiPriority w:val="1"/>
    <w:qFormat/>
    <w:rsid w:val="00210473"/>
    <w:pPr>
      <w:ind w:left="720"/>
      <w:contextualSpacing/>
    </w:pPr>
    <w:rPr>
      <w:rFonts w:asciiTheme="minorHAnsi" w:eastAsiaTheme="minorEastAsia" w:hAnsiTheme="minorHAnsi" w:cstheme="minorBidi"/>
      <w:lang w:val="es-ES_tradnl"/>
    </w:rPr>
  </w:style>
  <w:style w:type="character" w:customStyle="1" w:styleId="PrrafodelistaCar">
    <w:name w:val="Párrafo de lista Car"/>
    <w:aliases w:val="Listas Car,lp1 Car,List Paragraph1 Car,List Paragraph Car,Bullet Number Car,lp11 Car,List Paragraph11 Car,Bullet 1 Car,Use Case List Paragraph Car,Figura 1 Car,Num Bullet 1 Car,Bullet List Car,FooterText Car,numbered Car,列出段落 Car"/>
    <w:basedOn w:val="Fuentedeprrafopredeter"/>
    <w:link w:val="Prrafodelista"/>
    <w:uiPriority w:val="34"/>
    <w:qFormat/>
    <w:rsid w:val="00210473"/>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F318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18B9"/>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5E4831"/>
    <w:rPr>
      <w:sz w:val="16"/>
      <w:szCs w:val="16"/>
    </w:rPr>
  </w:style>
  <w:style w:type="paragraph" w:styleId="Textocomentario">
    <w:name w:val="annotation text"/>
    <w:basedOn w:val="Normal"/>
    <w:link w:val="TextocomentarioCar"/>
    <w:uiPriority w:val="99"/>
    <w:semiHidden/>
    <w:unhideWhenUsed/>
    <w:rsid w:val="005E4831"/>
    <w:rPr>
      <w:sz w:val="20"/>
      <w:szCs w:val="20"/>
    </w:rPr>
  </w:style>
  <w:style w:type="character" w:customStyle="1" w:styleId="TextocomentarioCar">
    <w:name w:val="Texto comentario Car"/>
    <w:basedOn w:val="Fuentedeprrafopredeter"/>
    <w:link w:val="Textocomentario"/>
    <w:uiPriority w:val="99"/>
    <w:semiHidden/>
    <w:rsid w:val="005E483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4831"/>
    <w:rPr>
      <w:b/>
      <w:bCs/>
    </w:rPr>
  </w:style>
  <w:style w:type="character" w:customStyle="1" w:styleId="AsuntodelcomentarioCar">
    <w:name w:val="Asunto del comentario Car"/>
    <w:basedOn w:val="TextocomentarioCar"/>
    <w:link w:val="Asuntodelcomentario"/>
    <w:uiPriority w:val="99"/>
    <w:semiHidden/>
    <w:rsid w:val="005E483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2228">
      <w:bodyDiv w:val="1"/>
      <w:marLeft w:val="0"/>
      <w:marRight w:val="0"/>
      <w:marTop w:val="0"/>
      <w:marBottom w:val="0"/>
      <w:divBdr>
        <w:top w:val="none" w:sz="0" w:space="0" w:color="auto"/>
        <w:left w:val="none" w:sz="0" w:space="0" w:color="auto"/>
        <w:bottom w:val="none" w:sz="0" w:space="0" w:color="auto"/>
        <w:right w:val="none" w:sz="0" w:space="0" w:color="auto"/>
      </w:divBdr>
    </w:div>
    <w:div w:id="1271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F98C-DC82-4F7F-AF0C-05AAE58E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Martínez López</dc:creator>
  <cp:lastModifiedBy>Shirley</cp:lastModifiedBy>
  <cp:revision>2</cp:revision>
  <cp:lastPrinted>2023-09-12T00:33:00Z</cp:lastPrinted>
  <dcterms:created xsi:type="dcterms:W3CDTF">2023-12-12T18:21:00Z</dcterms:created>
  <dcterms:modified xsi:type="dcterms:W3CDTF">2023-12-12T18:21:00Z</dcterms:modified>
</cp:coreProperties>
</file>